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E402" w14:textId="7777777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589BE090" w14:textId="77777777" w:rsidR="005A12A1" w:rsidRDefault="00B41034" w:rsidP="00214D5D">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6F02EB39" w14:textId="77777777" w:rsidR="00B41034" w:rsidRPr="00F214A6" w:rsidRDefault="00B41034" w:rsidP="00214D5D">
      <w:pPr>
        <w:pBdr>
          <w:bottom w:val="single" w:sz="4" w:space="1" w:color="auto"/>
        </w:pBdr>
        <w:jc w:val="right"/>
        <w:rPr>
          <w:rFonts w:ascii="Garamond" w:hAnsi="Garamond"/>
          <w:b/>
          <w:sz w:val="28"/>
          <w:szCs w:val="24"/>
          <w:lang w:val="en-US"/>
        </w:rPr>
      </w:pPr>
    </w:p>
    <w:p w14:paraId="5E06CDA9" w14:textId="77777777" w:rsidR="005A12A1" w:rsidRDefault="005A12A1" w:rsidP="00214D5D">
      <w:pPr>
        <w:jc w:val="right"/>
        <w:rPr>
          <w:rFonts w:ascii="Garamond" w:hAnsi="Garamond"/>
          <w:sz w:val="24"/>
          <w:szCs w:val="24"/>
          <w:lang w:val="en-US"/>
        </w:rPr>
      </w:pPr>
    </w:p>
    <w:p w14:paraId="460CB239" w14:textId="77777777" w:rsidR="008E1927" w:rsidRPr="00F214A6" w:rsidRDefault="008E1927" w:rsidP="00214D5D">
      <w:pPr>
        <w:jc w:val="right"/>
        <w:rPr>
          <w:rFonts w:ascii="Garamond" w:hAnsi="Garamond"/>
          <w:sz w:val="24"/>
          <w:szCs w:val="24"/>
          <w:lang w:val="en-US"/>
        </w:rPr>
      </w:pPr>
    </w:p>
    <w:p w14:paraId="701E08C6" w14:textId="77777777" w:rsidR="00214D5D" w:rsidRPr="00034A60" w:rsidRDefault="00214D5D" w:rsidP="00214D5D">
      <w:pPr>
        <w:rPr>
          <w:rFonts w:ascii="Garamond" w:hAnsi="Garamond"/>
          <w:sz w:val="24"/>
          <w:szCs w:val="24"/>
          <w:lang w:val="en-US"/>
        </w:rPr>
      </w:pPr>
    </w:p>
    <w:p w14:paraId="4B438C7D" w14:textId="77777777" w:rsidR="009C669B" w:rsidRDefault="009C669B" w:rsidP="00214D5D">
      <w:pPr>
        <w:rPr>
          <w:rFonts w:ascii="Garamond" w:hAnsi="Garamond"/>
          <w:sz w:val="24"/>
          <w:szCs w:val="24"/>
          <w:lang w:val="en-US"/>
        </w:rPr>
      </w:pPr>
    </w:p>
    <w:p w14:paraId="79717B49" w14:textId="77777777" w:rsidR="008E1927" w:rsidRPr="00034A60" w:rsidRDefault="008E1927" w:rsidP="00214D5D">
      <w:pPr>
        <w:rPr>
          <w:rFonts w:ascii="Garamond" w:hAnsi="Garamond"/>
          <w:sz w:val="24"/>
          <w:szCs w:val="24"/>
          <w:lang w:val="en-US"/>
        </w:rPr>
      </w:pPr>
    </w:p>
    <w:p w14:paraId="1193A498"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681E2578" w14:textId="77777777" w:rsidR="00F34FFC" w:rsidRPr="00D97AAF" w:rsidRDefault="00F34FFC" w:rsidP="00214D5D">
      <w:pPr>
        <w:jc w:val="both"/>
        <w:rPr>
          <w:rFonts w:ascii="Garamond" w:hAnsi="Garamond"/>
          <w:i/>
          <w:sz w:val="24"/>
          <w:szCs w:val="24"/>
          <w:lang w:val="en-US"/>
        </w:rPr>
      </w:pPr>
    </w:p>
    <w:p w14:paraId="67906D05" w14:textId="77777777" w:rsidR="00E93580" w:rsidRPr="00F214A6" w:rsidRDefault="00E93580" w:rsidP="00214D5D">
      <w:pPr>
        <w:ind w:firstLine="708"/>
        <w:jc w:val="both"/>
        <w:rPr>
          <w:rFonts w:ascii="Garamond" w:hAnsi="Garamond"/>
          <w:sz w:val="24"/>
          <w:szCs w:val="24"/>
          <w:lang w:val="en-US"/>
        </w:rPr>
      </w:pPr>
      <w:r w:rsidRPr="00F214A6">
        <w:rPr>
          <w:rFonts w:ascii="Garamond" w:hAnsi="Garamond"/>
          <w:bCs/>
          <w:sz w:val="24"/>
          <w:szCs w:val="24"/>
          <w:lang w:val="en-GB"/>
        </w:rPr>
        <w:t xml:space="preserve">In order to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2AB33F65" w14:textId="77777777" w:rsidR="001826C3" w:rsidRDefault="001826C3" w:rsidP="00214D5D">
      <w:pPr>
        <w:autoSpaceDE w:val="0"/>
        <w:jc w:val="both"/>
        <w:rPr>
          <w:rFonts w:ascii="Garamond" w:hAnsi="Garamond"/>
          <w:b/>
          <w:bCs/>
          <w:sz w:val="24"/>
          <w:szCs w:val="24"/>
          <w:lang w:val="en-US"/>
        </w:rPr>
      </w:pPr>
    </w:p>
    <w:p w14:paraId="3993D2B8" w14:textId="77777777" w:rsidR="008E1927" w:rsidRDefault="008E1927" w:rsidP="00214D5D">
      <w:pPr>
        <w:autoSpaceDE w:val="0"/>
        <w:jc w:val="both"/>
        <w:rPr>
          <w:rFonts w:ascii="Garamond" w:hAnsi="Garamond"/>
          <w:b/>
          <w:bCs/>
          <w:sz w:val="24"/>
          <w:szCs w:val="24"/>
          <w:lang w:val="en-US"/>
        </w:rPr>
      </w:pPr>
    </w:p>
    <w:p w14:paraId="7707AC31"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7C65BB59" w14:textId="77777777" w:rsidR="008561B4" w:rsidRDefault="008561B4" w:rsidP="00214D5D">
      <w:pPr>
        <w:autoSpaceDE w:val="0"/>
        <w:jc w:val="both"/>
        <w:rPr>
          <w:rFonts w:ascii="Garamond" w:hAnsi="Garamond"/>
          <w:bCs/>
          <w:sz w:val="24"/>
          <w:szCs w:val="24"/>
          <w:lang w:val="en-US"/>
        </w:rPr>
      </w:pPr>
    </w:p>
    <w:p w14:paraId="65D146BB" w14:textId="77777777" w:rsidR="008E1927" w:rsidRPr="008E1927" w:rsidRDefault="008E1927" w:rsidP="00214D5D">
      <w:pPr>
        <w:autoSpaceDE w:val="0"/>
        <w:jc w:val="both"/>
        <w:rPr>
          <w:rFonts w:ascii="Garamond" w:hAnsi="Garamond"/>
          <w:b/>
          <w:bCs/>
          <w:sz w:val="24"/>
          <w:szCs w:val="24"/>
          <w:lang w:val="en-US"/>
        </w:rPr>
      </w:pPr>
    </w:p>
    <w:p w14:paraId="28936873" w14:textId="77777777" w:rsidR="00F34FFC" w:rsidRDefault="00F34FFC" w:rsidP="00F34FFC">
      <w:pPr>
        <w:autoSpaceDE w:val="0"/>
        <w:jc w:val="both"/>
        <w:rPr>
          <w:rFonts w:ascii="Garamond" w:hAnsi="Garamond"/>
          <w:b/>
          <w:bCs/>
          <w:sz w:val="24"/>
          <w:szCs w:val="24"/>
          <w:lang w:val="en-US"/>
        </w:rPr>
      </w:pPr>
      <w:r w:rsidRPr="00F214A6">
        <w:rPr>
          <w:rFonts w:ascii="Garamond" w:hAnsi="Garamond"/>
          <w:b/>
          <w:bCs/>
          <w:sz w:val="24"/>
          <w:szCs w:val="24"/>
          <w:lang w:val="en-US"/>
        </w:rPr>
        <w:t>INTRODUCTION</w:t>
      </w:r>
    </w:p>
    <w:p w14:paraId="3A1AC890" w14:textId="77777777" w:rsidR="00F34FFC" w:rsidRDefault="00F34FFC" w:rsidP="00F34FFC">
      <w:pPr>
        <w:autoSpaceDE w:val="0"/>
        <w:jc w:val="both"/>
        <w:rPr>
          <w:rFonts w:ascii="Garamond" w:hAnsi="Garamond"/>
          <w:b/>
          <w:bCs/>
          <w:sz w:val="24"/>
          <w:szCs w:val="24"/>
          <w:lang w:val="en-US"/>
        </w:rPr>
      </w:pPr>
    </w:p>
    <w:p w14:paraId="308D0C6A" w14:textId="77777777" w:rsidR="00F34FFC" w:rsidRDefault="00DD709A" w:rsidP="00F34FFC">
      <w:pPr>
        <w:autoSpaceDE w:val="0"/>
        <w:jc w:val="both"/>
        <w:rPr>
          <w:rFonts w:ascii="Garamond" w:hAnsi="Garamond"/>
          <w:b/>
          <w:bCs/>
          <w:sz w:val="24"/>
          <w:szCs w:val="24"/>
          <w:lang w:val="en-US"/>
        </w:rPr>
      </w:pPr>
      <w:r w:rsidRPr="00F214A6">
        <w:rPr>
          <w:rFonts w:ascii="Garamond" w:hAnsi="Garamond"/>
          <w:bCs/>
          <w:sz w:val="24"/>
          <w:szCs w:val="24"/>
          <w:lang w:val="en-US"/>
        </w:rPr>
        <w:t xml:space="preserve">In the attempt to understand an organization's survival and growth, legitimacy plays a key role. Organizations that show more credibility, convenience, and adjustment to social norms, values and beliefs are more predictable, trustworthy and balanced. </w:t>
      </w:r>
    </w:p>
    <w:p w14:paraId="2E21F8A7" w14:textId="77777777" w:rsidR="00F34FFC" w:rsidRDefault="00F34FFC" w:rsidP="00F34FFC">
      <w:pPr>
        <w:autoSpaceDE w:val="0"/>
        <w:jc w:val="both"/>
        <w:rPr>
          <w:rFonts w:ascii="Garamond" w:hAnsi="Garamond"/>
          <w:b/>
          <w:bCs/>
          <w:sz w:val="24"/>
          <w:szCs w:val="24"/>
          <w:lang w:val="en-US"/>
        </w:rPr>
      </w:pPr>
    </w:p>
    <w:p w14:paraId="684CF6B5" w14:textId="77777777" w:rsidR="005A12A1" w:rsidRPr="00F34FFC" w:rsidRDefault="00DD709A" w:rsidP="00F34FFC">
      <w:pPr>
        <w:autoSpaceDE w:val="0"/>
        <w:jc w:val="both"/>
        <w:rPr>
          <w:rFonts w:ascii="Garamond" w:hAnsi="Garamond"/>
          <w:b/>
          <w:bCs/>
          <w:sz w:val="24"/>
          <w:szCs w:val="24"/>
          <w:lang w:val="en-US"/>
        </w:rPr>
      </w:pPr>
      <w:r w:rsidRPr="00F214A6">
        <w:rPr>
          <w:rFonts w:ascii="Garamond" w:hAnsi="Garamond"/>
          <w:sz w:val="24"/>
          <w:szCs w:val="24"/>
          <w:lang w:val="en-US"/>
        </w:rPr>
        <w:t xml:space="preserve">The development of specific strategic actions allows organizations to acquire, maintain and repair their legitimacy. These actions promote access to strategic resources that are needed by organizations to sustain their growth and survival (Zimmerman and </w:t>
      </w:r>
      <w:proofErr w:type="spellStart"/>
      <w:r w:rsidRPr="00F214A6">
        <w:rPr>
          <w:rFonts w:ascii="Garamond" w:hAnsi="Garamond"/>
          <w:sz w:val="24"/>
          <w:szCs w:val="24"/>
          <w:lang w:val="en-US"/>
        </w:rPr>
        <w:t>Zeith</w:t>
      </w:r>
      <w:proofErr w:type="spellEnd"/>
      <w:r w:rsidRPr="00F214A6">
        <w:rPr>
          <w:rFonts w:ascii="Garamond" w:hAnsi="Garamond"/>
          <w:sz w:val="24"/>
          <w:szCs w:val="24"/>
          <w:lang w:val="en-US"/>
        </w:rPr>
        <w:t>, 2002). On the basis of this structure a number of issues could be considered, for example: what is the effect of legitimacy source on organizations' resource acquisition? Is legitimacy a continuous variable (Deeds et al., 1997) or, what kind of strategic action allows organizations to acquire more legitimacy? All of these are ideas that should be empirically proven and documented. In these matters the key concept to consider is organizational legitimacy, an abstract concept that presents great measurement difficulties (Bozeman, 1993; Suchman, 1995; Low and Johnston, 2008). This study takes a step forward in the effort to establish a methodology for measuring organizational legitimacy. W</w:t>
      </w:r>
      <w:r w:rsidRPr="00F214A6">
        <w:rPr>
          <w:rFonts w:ascii="Garamond" w:hAnsi="Garamond"/>
          <w:bCs/>
          <w:sz w:val="24"/>
          <w:szCs w:val="24"/>
          <w:lang w:val="en-US"/>
        </w:rPr>
        <w:t>e have studied legitimacy in Spanish Mutual Guarantee Societies (MGS) and ranked them. Furthermore, we have analyzed</w:t>
      </w:r>
      <w:r w:rsidR="009F1477" w:rsidRPr="00F214A6">
        <w:rPr>
          <w:rFonts w:ascii="Garamond" w:hAnsi="Garamond"/>
          <w:bCs/>
          <w:sz w:val="24"/>
          <w:szCs w:val="24"/>
          <w:lang w:val="en-US"/>
        </w:rPr>
        <w:t xml:space="preserve"> the relative </w:t>
      </w:r>
      <w:r w:rsidR="009F1477" w:rsidRPr="00F214A6">
        <w:rPr>
          <w:rFonts w:ascii="Garamond" w:hAnsi="Garamond"/>
          <w:bCs/>
          <w:sz w:val="24"/>
          <w:szCs w:val="24"/>
          <w:lang w:val="en-US"/>
        </w:rPr>
        <w:lastRenderedPageBreak/>
        <w:t xml:space="preserve">importance of the </w:t>
      </w:r>
      <w:r w:rsidRPr="00F214A6">
        <w:rPr>
          <w:rFonts w:ascii="Garamond" w:hAnsi="Garamond"/>
          <w:bCs/>
          <w:sz w:val="24"/>
          <w:szCs w:val="24"/>
          <w:lang w:val="en-US"/>
        </w:rPr>
        <w:t>different aspects of legitimacy in MGS and established a legitimacy profile for the sector.</w:t>
      </w:r>
    </w:p>
    <w:p w14:paraId="6BA16800" w14:textId="77777777" w:rsidR="005A12A1" w:rsidRPr="00F214A6" w:rsidRDefault="005A12A1" w:rsidP="00214D5D">
      <w:pPr>
        <w:ind w:firstLine="680"/>
        <w:jc w:val="both"/>
        <w:rPr>
          <w:rFonts w:ascii="Garamond" w:hAnsi="Garamond"/>
          <w:sz w:val="24"/>
          <w:szCs w:val="24"/>
          <w:lang w:val="en-US"/>
        </w:rPr>
      </w:pPr>
    </w:p>
    <w:p w14:paraId="2A1FB792" w14:textId="77777777" w:rsidR="005A12A1" w:rsidRPr="00F214A6" w:rsidRDefault="00DD709A" w:rsidP="00F34FFC">
      <w:pPr>
        <w:pStyle w:val="Textoindependiente"/>
        <w:rPr>
          <w:sz w:val="24"/>
          <w:szCs w:val="24"/>
          <w:lang w:val="en-US"/>
        </w:rPr>
      </w:pPr>
      <w:r w:rsidRPr="00F214A6">
        <w:rPr>
          <w:sz w:val="24"/>
          <w:szCs w:val="24"/>
          <w:lang w:val="en-US"/>
        </w:rPr>
        <w:t>This paper contributes in two fundamental ways to the current literature on legitimacy. Firstly, we establish a scale for measuring legitimacy, considering it as an aggregate of its different typologies. We include variables that have been contemplated theoretically but have never before been put into practice. Previous studies have concentrated on specific variables that are useful for building metrics on organizations belonging to the same sector, but can hardly be ported across sectors. We contribute a set of variables that can be used to measure legitimacy in any type of organization. Furthermore, p</w:t>
      </w:r>
      <w:r w:rsidR="00361363" w:rsidRPr="00F214A6">
        <w:rPr>
          <w:sz w:val="24"/>
          <w:szCs w:val="24"/>
          <w:lang w:val="en-US"/>
        </w:rPr>
        <w:t xml:space="preserve">revious research has generally </w:t>
      </w:r>
      <w:r w:rsidRPr="00F214A6">
        <w:rPr>
          <w:sz w:val="24"/>
          <w:szCs w:val="24"/>
          <w:lang w:val="en-US"/>
        </w:rPr>
        <w:t>measured only one aspect of legitimacy at a time. Our work establishes a global measure of legitimacy. Secondly, we use an analysis technique (</w:t>
      </w:r>
      <w:r w:rsidRPr="00F214A6">
        <w:rPr>
          <w:i/>
          <w:iCs/>
          <w:sz w:val="24"/>
          <w:szCs w:val="24"/>
          <w:lang w:val="en-US"/>
        </w:rPr>
        <w:t>Analytic Hierarchy Process</w:t>
      </w:r>
      <w:r w:rsidRPr="00F214A6">
        <w:rPr>
          <w:sz w:val="24"/>
          <w:szCs w:val="24"/>
          <w:lang w:val="en-US"/>
        </w:rPr>
        <w:t xml:space="preserve">) that has not been previously considered for legitimacy measurement. Through this technique we resolve some of the problems encountered by previous authors (small sample size, scarce quantitative data, </w:t>
      </w:r>
      <w:r w:rsidR="00034A60" w:rsidRPr="00F214A6">
        <w:rPr>
          <w:sz w:val="24"/>
          <w:szCs w:val="24"/>
          <w:lang w:val="en-US"/>
        </w:rPr>
        <w:t>and insufficient</w:t>
      </w:r>
      <w:r w:rsidRPr="00F214A6">
        <w:rPr>
          <w:sz w:val="24"/>
          <w:szCs w:val="24"/>
          <w:lang w:val="en-US"/>
        </w:rPr>
        <w:t xml:space="preserve"> media information) and describe the relationships between the different typologies and parameters of legitimacy.</w:t>
      </w:r>
    </w:p>
    <w:p w14:paraId="1DD2215A" w14:textId="77777777" w:rsidR="005A12A1" w:rsidRPr="00F214A6" w:rsidRDefault="005A12A1" w:rsidP="00214D5D">
      <w:pPr>
        <w:pStyle w:val="Textoindependiente"/>
        <w:ind w:firstLine="680"/>
        <w:rPr>
          <w:sz w:val="24"/>
          <w:szCs w:val="24"/>
          <w:lang w:val="en-US"/>
        </w:rPr>
      </w:pPr>
    </w:p>
    <w:p w14:paraId="21562DD9" w14:textId="77777777" w:rsidR="005A12A1" w:rsidRPr="00F214A6" w:rsidRDefault="00DD709A" w:rsidP="00F34FFC">
      <w:pPr>
        <w:pStyle w:val="Textoindependiente"/>
        <w:rPr>
          <w:sz w:val="24"/>
          <w:szCs w:val="24"/>
          <w:lang w:val="en-US"/>
        </w:rPr>
      </w:pPr>
      <w:r w:rsidRPr="00F214A6">
        <w:rPr>
          <w:sz w:val="24"/>
          <w:szCs w:val="24"/>
          <w:lang w:val="en-US"/>
        </w:rPr>
        <w:t>The structure of this paper commences with a review of previous literature in which we present the current state of scholarship on legitimacy and its implications. We then put forward a model that reflects the concept of legitimacy and discuss the methodology utilized in this study. Finally, we describe the results achieved and comment on the conclusions and implications derived from them, as well as future areas of research.</w:t>
      </w:r>
    </w:p>
    <w:p w14:paraId="0229A17F" w14:textId="77777777" w:rsidR="009F1477" w:rsidRDefault="009F1477" w:rsidP="00F34FFC">
      <w:pPr>
        <w:pStyle w:val="Textoindependiente"/>
        <w:rPr>
          <w:sz w:val="24"/>
          <w:szCs w:val="24"/>
          <w:lang w:val="en-US"/>
        </w:rPr>
      </w:pPr>
    </w:p>
    <w:p w14:paraId="12253971" w14:textId="77777777" w:rsidR="00F34FFC" w:rsidRDefault="00F34FFC" w:rsidP="00F34FFC">
      <w:pPr>
        <w:autoSpaceDE w:val="0"/>
        <w:jc w:val="both"/>
        <w:rPr>
          <w:rFonts w:ascii="Garamond" w:hAnsi="Garamond"/>
          <w:b/>
          <w:sz w:val="24"/>
          <w:szCs w:val="24"/>
          <w:lang w:val="en-US"/>
        </w:rPr>
      </w:pPr>
    </w:p>
    <w:p w14:paraId="39194F4A" w14:textId="77777777" w:rsidR="005A12A1" w:rsidRPr="00F214A6" w:rsidRDefault="00F34FFC" w:rsidP="00F34FFC">
      <w:pPr>
        <w:autoSpaceDE w:val="0"/>
        <w:jc w:val="both"/>
        <w:rPr>
          <w:rFonts w:ascii="Garamond" w:hAnsi="Garamond"/>
          <w:b/>
          <w:sz w:val="24"/>
          <w:szCs w:val="24"/>
          <w:lang w:val="en-US"/>
        </w:rPr>
      </w:pPr>
      <w:r w:rsidRPr="00F214A6">
        <w:rPr>
          <w:rFonts w:ascii="Garamond" w:hAnsi="Garamond"/>
          <w:b/>
          <w:sz w:val="24"/>
          <w:szCs w:val="24"/>
          <w:lang w:val="en-US"/>
        </w:rPr>
        <w:t>CONCEPTUAL FRAMEWORK</w:t>
      </w:r>
    </w:p>
    <w:p w14:paraId="1B038CF2" w14:textId="77777777" w:rsidR="005A12A1" w:rsidRPr="00F214A6" w:rsidRDefault="005A12A1" w:rsidP="00F34FFC">
      <w:pPr>
        <w:autoSpaceDE w:val="0"/>
        <w:jc w:val="both"/>
        <w:rPr>
          <w:rFonts w:ascii="Garamond" w:hAnsi="Garamond"/>
          <w:sz w:val="24"/>
          <w:szCs w:val="24"/>
          <w:lang w:val="en-US"/>
        </w:rPr>
      </w:pPr>
    </w:p>
    <w:p w14:paraId="7242E931"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Legitimacy has been described as “a generalized perception or assumption that the actions of an entity are desirable, proper, or appropriate within some socially constructed system of norms, values, beliefs, and definitions” (Suchman, 1995). We have observed different procedures to quantify legitimacy in previous research, mainly quantitative content analysis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1996;</w:t>
      </w:r>
      <w:r w:rsidRPr="00F214A6">
        <w:rPr>
          <w:rFonts w:ascii="Garamond" w:hAnsi="Garamond"/>
          <w:sz w:val="24"/>
          <w:szCs w:val="24"/>
          <w:lang w:val="en-US"/>
        </w:rPr>
        <w:t xml:space="preserve"> Ruef and Scott, 1998; Bansal and Clelland, 2004;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and Carter, 2005</w:t>
      </w:r>
      <w:r w:rsidRPr="00F214A6">
        <w:rPr>
          <w:rFonts w:ascii="Garamond" w:hAnsi="Garamond"/>
          <w:sz w:val="24"/>
          <w:szCs w:val="24"/>
          <w:lang w:val="en-US"/>
        </w:rPr>
        <w:t>), interviews, and case study method (Rutherford y Buller, 2007; Low y Johnston, 2008). These studies have been based on specific indicators of use for building metrics on organizations that belong to the same sector, but can hardly be ported across sectors. Because of this, in order to operationalize legitimacy we have used the model proposed by Thomas (2005) which is characterized by indicators that can be applied to any type of organization.</w:t>
      </w:r>
    </w:p>
    <w:p w14:paraId="0BF8EF5F" w14:textId="77777777" w:rsidR="005A12A1" w:rsidRPr="00F214A6" w:rsidRDefault="005A12A1" w:rsidP="00F34FFC">
      <w:pPr>
        <w:autoSpaceDE w:val="0"/>
        <w:jc w:val="both"/>
        <w:rPr>
          <w:rFonts w:ascii="Garamond" w:hAnsi="Garamond"/>
          <w:sz w:val="24"/>
          <w:szCs w:val="24"/>
          <w:lang w:val="en-US"/>
        </w:rPr>
      </w:pPr>
    </w:p>
    <w:p w14:paraId="6803B8A5"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Thomas (2005) identifies legitimacy as a multidimensional psychological construct made up of two dimensions: the referential locus, and the evaluative criteria or types of legitimacy.  The model proposed by Thomas (2005) arises from studies by Harris (1994) as well as Dornbush and Scott (1975) concerning the referential locus dimension; along with Suchman (1995) with respect to the evaluative criteria. Thomas (2005) considers both dimensions jointly and relates them to create a new measurement scale. This author integrates the concepts used until now, connecting them in a joint framework.</w:t>
      </w:r>
    </w:p>
    <w:p w14:paraId="71CF876D" w14:textId="77777777" w:rsidR="005A12A1" w:rsidRPr="00F214A6" w:rsidRDefault="005A12A1" w:rsidP="00F34FFC">
      <w:pPr>
        <w:autoSpaceDE w:val="0"/>
        <w:jc w:val="both"/>
        <w:rPr>
          <w:rFonts w:ascii="Garamond" w:hAnsi="Garamond"/>
          <w:sz w:val="24"/>
          <w:szCs w:val="24"/>
          <w:lang w:val="en-US"/>
        </w:rPr>
      </w:pPr>
    </w:p>
    <w:p w14:paraId="418B599B" w14:textId="77777777" w:rsidR="005A12A1" w:rsidRPr="00F214A6" w:rsidRDefault="00DD709A" w:rsidP="00F34FFC">
      <w:pPr>
        <w:pStyle w:val="Textoindependiente"/>
        <w:rPr>
          <w:sz w:val="24"/>
          <w:szCs w:val="24"/>
          <w:lang w:val="en-US"/>
        </w:rPr>
      </w:pPr>
      <w:r w:rsidRPr="00F214A6">
        <w:rPr>
          <w:sz w:val="24"/>
          <w:szCs w:val="24"/>
          <w:lang w:val="en-US"/>
        </w:rPr>
        <w:t xml:space="preserve">The first dimension is made up of a combination of </w:t>
      </w:r>
      <w:r w:rsidRPr="00F214A6">
        <w:rPr>
          <w:i/>
          <w:iCs/>
          <w:sz w:val="24"/>
          <w:szCs w:val="24"/>
          <w:lang w:val="en-US"/>
        </w:rPr>
        <w:t>propriety</w:t>
      </w:r>
      <w:r w:rsidRPr="00F214A6">
        <w:rPr>
          <w:sz w:val="24"/>
          <w:szCs w:val="24"/>
          <w:lang w:val="en-US"/>
        </w:rPr>
        <w:t xml:space="preserve"> and </w:t>
      </w:r>
      <w:r w:rsidRPr="00F214A6">
        <w:rPr>
          <w:i/>
          <w:iCs/>
          <w:sz w:val="24"/>
          <w:szCs w:val="24"/>
          <w:lang w:val="en-US"/>
        </w:rPr>
        <w:t>validity</w:t>
      </w:r>
      <w:r w:rsidRPr="00F214A6">
        <w:rPr>
          <w:sz w:val="24"/>
          <w:szCs w:val="24"/>
          <w:lang w:val="en-US"/>
        </w:rPr>
        <w:t xml:space="preserve"> (Dornbush and Scott, 1975). Propriety refers to perceptions or belief that an action or policy is desirable, correct and appropriate, according to an individual's personal evaluative criteria. Validity refers to individuals’ beliefs that they are obligated to respond to social pressure to engage in actions or conform to policies and social norms, even in the absence of a personal sense of propriety. The second dimension consists of evaluative criteria or types of legitimacy that contribute, </w:t>
      </w:r>
      <w:r w:rsidRPr="00F214A6">
        <w:rPr>
          <w:sz w:val="24"/>
          <w:szCs w:val="24"/>
          <w:lang w:val="en-US"/>
        </w:rPr>
        <w:lastRenderedPageBreak/>
        <w:t>consciously or not, to individual perceptions of legitimacy. Suchman (1995) identifies three types of legitimacy: pragmatic, moral and cognitive.</w:t>
      </w:r>
    </w:p>
    <w:p w14:paraId="19F976A3" w14:textId="77777777" w:rsidR="005A12A1" w:rsidRPr="00F214A6" w:rsidRDefault="005A12A1" w:rsidP="00214D5D">
      <w:pPr>
        <w:autoSpaceDE w:val="0"/>
        <w:ind w:firstLine="680"/>
        <w:jc w:val="both"/>
        <w:rPr>
          <w:rFonts w:ascii="Garamond" w:hAnsi="Garamond"/>
          <w:sz w:val="24"/>
          <w:szCs w:val="24"/>
          <w:lang w:val="en-US"/>
        </w:rPr>
      </w:pPr>
    </w:p>
    <w:p w14:paraId="12491133" w14:textId="77777777" w:rsidR="005A12A1" w:rsidRPr="00F34FFC" w:rsidRDefault="00DD709A" w:rsidP="00F34FFC">
      <w:pPr>
        <w:autoSpaceDE w:val="0"/>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szCs w:val="24"/>
          <w:lang w:val="en-US"/>
        </w:rPr>
        <w:t>Legitimacy and its Dimensions</w:t>
      </w:r>
    </w:p>
    <w:p w14:paraId="18259E08"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drawing>
          <wp:inline distT="0" distB="0" distL="0" distR="0" wp14:anchorId="2BF96C4C" wp14:editId="1ABC696B">
            <wp:extent cx="3010496" cy="24765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003" cy="2477739"/>
                    </a:xfrm>
                    <a:prstGeom prst="rect">
                      <a:avLst/>
                    </a:prstGeom>
                    <a:solidFill>
                      <a:srgbClr val="FFFFFF"/>
                    </a:solidFill>
                    <a:ln>
                      <a:noFill/>
                    </a:ln>
                  </pic:spPr>
                </pic:pic>
              </a:graphicData>
            </a:graphic>
          </wp:inline>
        </w:drawing>
      </w:r>
    </w:p>
    <w:p w14:paraId="762C5DD6" w14:textId="77777777" w:rsidR="005A12A1" w:rsidRPr="00F34FFC" w:rsidRDefault="00DD709A" w:rsidP="00F34FFC">
      <w:pPr>
        <w:autoSpaceDE w:val="0"/>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Authors' own research based on Thomas (2005).</w:t>
      </w:r>
    </w:p>
    <w:p w14:paraId="1F18DF25" w14:textId="77777777" w:rsidR="001826C3" w:rsidRDefault="001826C3" w:rsidP="00214D5D">
      <w:pPr>
        <w:jc w:val="both"/>
        <w:rPr>
          <w:rFonts w:ascii="Garamond" w:hAnsi="Garamond"/>
          <w:b/>
          <w:sz w:val="24"/>
          <w:szCs w:val="24"/>
          <w:lang w:val="en-US"/>
        </w:rPr>
      </w:pPr>
    </w:p>
    <w:p w14:paraId="1835406C" w14:textId="77777777" w:rsidR="001826C3" w:rsidRDefault="001826C3" w:rsidP="00214D5D">
      <w:pPr>
        <w:jc w:val="both"/>
        <w:rPr>
          <w:rFonts w:ascii="Garamond" w:hAnsi="Garamond"/>
          <w:b/>
          <w:sz w:val="24"/>
          <w:szCs w:val="24"/>
          <w:lang w:val="en-US"/>
        </w:rPr>
      </w:pPr>
    </w:p>
    <w:p w14:paraId="4DF528A1" w14:textId="77777777" w:rsidR="008E1927" w:rsidRDefault="008E1927" w:rsidP="00214D5D">
      <w:pPr>
        <w:jc w:val="both"/>
        <w:rPr>
          <w:rFonts w:ascii="Garamond" w:hAnsi="Garamond"/>
          <w:b/>
          <w:sz w:val="24"/>
          <w:szCs w:val="24"/>
          <w:lang w:val="en-US"/>
        </w:rPr>
      </w:pPr>
    </w:p>
    <w:p w14:paraId="51248792" w14:textId="77777777" w:rsidR="005A12A1" w:rsidRPr="00F214A6" w:rsidRDefault="00F34FFC" w:rsidP="00214D5D">
      <w:pPr>
        <w:jc w:val="both"/>
        <w:rPr>
          <w:rFonts w:ascii="Garamond" w:hAnsi="Garamond"/>
          <w:b/>
          <w:sz w:val="24"/>
          <w:szCs w:val="24"/>
          <w:lang w:val="en-US"/>
        </w:rPr>
      </w:pPr>
      <w:r w:rsidRPr="00F214A6">
        <w:rPr>
          <w:rFonts w:ascii="Garamond" w:hAnsi="Garamond"/>
          <w:b/>
          <w:sz w:val="24"/>
          <w:szCs w:val="24"/>
          <w:lang w:val="en-US"/>
        </w:rPr>
        <w:t>METHODOLOGY</w:t>
      </w:r>
    </w:p>
    <w:p w14:paraId="0171D924" w14:textId="77777777" w:rsidR="005A12A1" w:rsidRPr="00F214A6" w:rsidRDefault="005A12A1" w:rsidP="00214D5D">
      <w:pPr>
        <w:ind w:firstLine="680"/>
        <w:jc w:val="both"/>
        <w:rPr>
          <w:rFonts w:ascii="Garamond" w:hAnsi="Garamond"/>
          <w:b/>
          <w:sz w:val="24"/>
          <w:szCs w:val="24"/>
          <w:lang w:val="en-US"/>
        </w:rPr>
      </w:pPr>
    </w:p>
    <w:p w14:paraId="07A3D92D" w14:textId="77777777" w:rsidR="00F34FFC" w:rsidRDefault="006E1245" w:rsidP="00F34FFC">
      <w:pPr>
        <w:jc w:val="both"/>
        <w:rPr>
          <w:rFonts w:ascii="Garamond" w:hAnsi="Garamond"/>
          <w:b/>
          <w:sz w:val="24"/>
          <w:szCs w:val="24"/>
          <w:lang w:val="en-US"/>
        </w:rPr>
      </w:pPr>
      <w:r w:rsidRPr="00F214A6">
        <w:rPr>
          <w:rFonts w:ascii="Garamond" w:hAnsi="Garamond"/>
          <w:b/>
          <w:sz w:val="24"/>
          <w:szCs w:val="24"/>
          <w:lang w:val="en-US"/>
        </w:rPr>
        <w:t>Sample</w:t>
      </w:r>
    </w:p>
    <w:p w14:paraId="33CF5570" w14:textId="77777777" w:rsidR="00F34FFC" w:rsidRDefault="00F34FFC" w:rsidP="00F34FFC">
      <w:pPr>
        <w:jc w:val="both"/>
        <w:rPr>
          <w:rFonts w:ascii="Garamond" w:hAnsi="Garamond"/>
          <w:b/>
          <w:sz w:val="24"/>
          <w:szCs w:val="24"/>
          <w:lang w:val="en-US"/>
        </w:rPr>
      </w:pPr>
    </w:p>
    <w:p w14:paraId="340D709C" w14:textId="77777777" w:rsidR="005A12A1" w:rsidRPr="00F34FFC" w:rsidRDefault="00DD709A" w:rsidP="00F34FFC">
      <w:pPr>
        <w:jc w:val="both"/>
        <w:rPr>
          <w:rFonts w:ascii="Garamond" w:hAnsi="Garamond"/>
          <w:b/>
          <w:sz w:val="24"/>
          <w:szCs w:val="24"/>
          <w:lang w:val="en-US"/>
        </w:rPr>
      </w:pPr>
      <w:r w:rsidRPr="00F214A6">
        <w:rPr>
          <w:rFonts w:ascii="Garamond" w:hAnsi="Garamond"/>
          <w:sz w:val="24"/>
          <w:szCs w:val="24"/>
          <w:lang w:val="en-US"/>
        </w:rPr>
        <w:t>We study Spanish Mutual Guarantee Societies (MGS), also known in the Spanish-speaking world as Reciprocal Guarantee Societies</w:t>
      </w:r>
      <w:r w:rsidR="009F1477" w:rsidRPr="00F214A6">
        <w:rPr>
          <w:rFonts w:ascii="Garamond" w:hAnsi="Garamond"/>
          <w:sz w:val="24"/>
          <w:szCs w:val="24"/>
          <w:lang w:val="en-US"/>
        </w:rPr>
        <w:t xml:space="preserve"> or SGR</w:t>
      </w:r>
      <w:r w:rsidRPr="00F214A6">
        <w:rPr>
          <w:rFonts w:ascii="Garamond" w:hAnsi="Garamond"/>
          <w:sz w:val="24"/>
          <w:szCs w:val="24"/>
          <w:lang w:val="en-US"/>
        </w:rPr>
        <w:t>. MGS are organizations set up to facilitate SME's access to loan finance, negotiating acceptable financing conditions similar to those obtained by larger companies. The statistical universe is made up of 22 organizations, all currently active in Spain. The average age of the MGSs is 22 years, running from 28 years for the most experienced to 4 years for the least experienced. The average number of permanent employees was 23, with a range from 85 to 6. Average operating revenues were</w:t>
      </w:r>
      <w:r w:rsidR="00FF38FB" w:rsidRPr="00F214A6">
        <w:rPr>
          <w:rFonts w:ascii="Garamond" w:hAnsi="Garamond"/>
          <w:sz w:val="24"/>
          <w:szCs w:val="24"/>
          <w:lang w:val="en-US"/>
        </w:rPr>
        <w:t xml:space="preserve"> 3,094,314 euros, in a range of</w:t>
      </w:r>
      <w:r w:rsidRPr="00F214A6">
        <w:rPr>
          <w:rFonts w:ascii="Garamond" w:hAnsi="Garamond"/>
          <w:sz w:val="24"/>
          <w:szCs w:val="24"/>
          <w:lang w:val="en-US"/>
        </w:rPr>
        <w:t xml:space="preserve"> 18,997,000 to 264,598 euros</w:t>
      </w:r>
      <w:r w:rsidR="00564875" w:rsidRPr="00F214A6">
        <w:rPr>
          <w:rStyle w:val="Refdenotaalpie"/>
          <w:rFonts w:ascii="Garamond" w:hAnsi="Garamond"/>
          <w:sz w:val="24"/>
          <w:szCs w:val="24"/>
          <w:lang w:val="en-US"/>
        </w:rPr>
        <w:footnoteReference w:id="1"/>
      </w:r>
      <w:r w:rsidRPr="00F214A6">
        <w:rPr>
          <w:rFonts w:ascii="Garamond" w:hAnsi="Garamond"/>
          <w:sz w:val="24"/>
          <w:szCs w:val="24"/>
          <w:lang w:val="en-US"/>
        </w:rPr>
        <w:t>.</w:t>
      </w:r>
    </w:p>
    <w:p w14:paraId="02A5D460" w14:textId="77777777" w:rsidR="005A12A1" w:rsidRPr="00F214A6" w:rsidRDefault="005A12A1" w:rsidP="00214D5D">
      <w:pPr>
        <w:autoSpaceDE w:val="0"/>
        <w:ind w:firstLine="680"/>
        <w:jc w:val="both"/>
        <w:rPr>
          <w:rFonts w:ascii="Garamond" w:hAnsi="Garamond"/>
          <w:sz w:val="24"/>
          <w:szCs w:val="24"/>
          <w:lang w:val="en-US"/>
        </w:rPr>
      </w:pPr>
    </w:p>
    <w:p w14:paraId="2ED10B7B" w14:textId="77777777" w:rsidR="00F34FFC" w:rsidRDefault="006E1245" w:rsidP="00F34FFC">
      <w:pPr>
        <w:autoSpaceDE w:val="0"/>
        <w:jc w:val="both"/>
        <w:rPr>
          <w:rFonts w:ascii="Garamond" w:hAnsi="Garamond"/>
          <w:b/>
          <w:sz w:val="24"/>
          <w:szCs w:val="24"/>
          <w:lang w:val="en-US"/>
        </w:rPr>
      </w:pPr>
      <w:r w:rsidRPr="00F214A6">
        <w:rPr>
          <w:rFonts w:ascii="Garamond" w:hAnsi="Garamond"/>
          <w:b/>
          <w:sz w:val="24"/>
          <w:szCs w:val="24"/>
          <w:lang w:val="en-US"/>
        </w:rPr>
        <w:t>Data collection</w:t>
      </w:r>
    </w:p>
    <w:p w14:paraId="24B22A0B" w14:textId="77777777" w:rsidR="00F34FFC" w:rsidRDefault="00F34FFC" w:rsidP="00F34FFC">
      <w:pPr>
        <w:autoSpaceDE w:val="0"/>
        <w:jc w:val="both"/>
        <w:rPr>
          <w:rFonts w:ascii="Garamond" w:hAnsi="Garamond"/>
          <w:b/>
          <w:sz w:val="24"/>
          <w:szCs w:val="24"/>
          <w:lang w:val="en-US"/>
        </w:rPr>
      </w:pPr>
    </w:p>
    <w:p w14:paraId="6203AB3E" w14:textId="77777777" w:rsidR="00F34FFC" w:rsidRDefault="00DD709A" w:rsidP="00F34FFC">
      <w:pPr>
        <w:autoSpaceDE w:val="0"/>
        <w:jc w:val="both"/>
        <w:rPr>
          <w:rFonts w:ascii="Garamond" w:hAnsi="Garamond"/>
          <w:sz w:val="24"/>
          <w:szCs w:val="24"/>
          <w:lang w:val="en-US"/>
        </w:rPr>
      </w:pPr>
      <w:r w:rsidRPr="00F214A6">
        <w:rPr>
          <w:rFonts w:ascii="Garamond" w:hAnsi="Garamond"/>
          <w:sz w:val="24"/>
          <w:szCs w:val="24"/>
          <w:lang w:val="en-US"/>
        </w:rPr>
        <w:t xml:space="preserve">Certain authors such as </w:t>
      </w:r>
      <w:proofErr w:type="spellStart"/>
      <w:r w:rsidRPr="00F214A6">
        <w:rPr>
          <w:rFonts w:ascii="Garamond" w:hAnsi="Garamond"/>
          <w:sz w:val="24"/>
          <w:szCs w:val="24"/>
          <w:lang w:val="en-US"/>
        </w:rPr>
        <w:t>Fombrun</w:t>
      </w:r>
      <w:proofErr w:type="spellEnd"/>
      <w:r w:rsidRPr="00F214A6">
        <w:rPr>
          <w:rFonts w:ascii="Garamond" w:hAnsi="Garamond"/>
          <w:sz w:val="24"/>
          <w:szCs w:val="24"/>
          <w:lang w:val="en-US"/>
        </w:rPr>
        <w:t xml:space="preserve"> and Shanley (1990) </w:t>
      </w:r>
      <w:r w:rsidR="00672928" w:rsidRPr="00F214A6">
        <w:rPr>
          <w:rFonts w:ascii="Garamond" w:hAnsi="Garamond"/>
          <w:sz w:val="24"/>
          <w:szCs w:val="24"/>
          <w:lang w:val="en-US"/>
        </w:rPr>
        <w:t>or Llamas et al (2005) has</w:t>
      </w:r>
      <w:r w:rsidRPr="00F214A6">
        <w:rPr>
          <w:rFonts w:ascii="Garamond" w:hAnsi="Garamond"/>
          <w:sz w:val="24"/>
          <w:szCs w:val="24"/>
          <w:lang w:val="en-US"/>
        </w:rPr>
        <w:t xml:space="preserve"> measured </w:t>
      </w:r>
      <w:r w:rsidR="00672928" w:rsidRPr="00F214A6">
        <w:rPr>
          <w:rFonts w:ascii="Garamond" w:hAnsi="Garamond"/>
          <w:sz w:val="24"/>
          <w:szCs w:val="24"/>
          <w:lang w:val="en-US"/>
        </w:rPr>
        <w:t>organizational</w:t>
      </w:r>
      <w:r w:rsidRPr="00F214A6">
        <w:rPr>
          <w:rFonts w:ascii="Garamond" w:hAnsi="Garamond"/>
          <w:sz w:val="24"/>
          <w:szCs w:val="24"/>
          <w:lang w:val="en-US"/>
        </w:rPr>
        <w:t xml:space="preserve"> legitimacy (reputation) using different tools, from databases to surveys completed by managers with sector expertise in which they were asked to classify their companies according to different attributes. Human and Provan (2000), Rutherford and Buller (2007), or Low and Johnston (2008) have performed semi-structured interview analysis with organization founders and/or managers to measure legitimacy. This is a valid way of recognizing legitimacy since legitimacy arises from the adjustment of an organization's actions to its surrounding social values; founders and managers are necessarily highly cognizant of their organization's culture, customs, routines, and procedures.</w:t>
      </w:r>
    </w:p>
    <w:p w14:paraId="41CD5768" w14:textId="77777777" w:rsidR="00F34FFC" w:rsidRDefault="00F34FFC" w:rsidP="00F34FFC">
      <w:pPr>
        <w:autoSpaceDE w:val="0"/>
        <w:jc w:val="both"/>
        <w:rPr>
          <w:rFonts w:ascii="Garamond" w:hAnsi="Garamond"/>
          <w:sz w:val="24"/>
          <w:szCs w:val="24"/>
          <w:lang w:val="en-US"/>
        </w:rPr>
      </w:pPr>
    </w:p>
    <w:p w14:paraId="7D9F05E5" w14:textId="77777777" w:rsidR="005A12A1" w:rsidRPr="00F34FFC" w:rsidRDefault="00DD709A" w:rsidP="00F34FFC">
      <w:pPr>
        <w:autoSpaceDE w:val="0"/>
        <w:jc w:val="both"/>
        <w:rPr>
          <w:rFonts w:ascii="Garamond" w:hAnsi="Garamond"/>
          <w:b/>
          <w:caps/>
          <w:sz w:val="24"/>
          <w:szCs w:val="24"/>
          <w:lang w:val="en-US"/>
        </w:rPr>
      </w:pPr>
      <w:r w:rsidRPr="00F214A6">
        <w:rPr>
          <w:rFonts w:ascii="Garamond" w:hAnsi="Garamond"/>
          <w:sz w:val="24"/>
          <w:szCs w:val="24"/>
          <w:lang w:val="en-US"/>
        </w:rPr>
        <w:t xml:space="preserve">Data collection was performed during February and March of 2009. A survey was designed and sent by e-mail to the risk managers and directors of the 22 organizations in the industry.  </w:t>
      </w:r>
      <w:r w:rsidRPr="00F214A6">
        <w:rPr>
          <w:rFonts w:ascii="Garamond" w:hAnsi="Garamond"/>
          <w:sz w:val="24"/>
          <w:szCs w:val="24"/>
          <w:lang w:val="en-US"/>
        </w:rPr>
        <w:lastRenderedPageBreak/>
        <w:t xml:space="preserve">In a time span of six weeks we received 17 completed surveys, or 72.72% of the population. The organizations that participated in the survey are among the most representative of the sector: SGR </w:t>
      </w:r>
      <w:proofErr w:type="spellStart"/>
      <w:r w:rsidRPr="00F214A6">
        <w:rPr>
          <w:rFonts w:ascii="Garamond" w:hAnsi="Garamond"/>
          <w:sz w:val="24"/>
          <w:szCs w:val="24"/>
          <w:lang w:val="en-US"/>
        </w:rPr>
        <w:t>Comunitat</w:t>
      </w:r>
      <w:proofErr w:type="spellEnd"/>
      <w:r w:rsidRPr="00F214A6">
        <w:rPr>
          <w:rFonts w:ascii="Garamond" w:hAnsi="Garamond"/>
          <w:sz w:val="24"/>
          <w:szCs w:val="24"/>
          <w:lang w:val="en-US"/>
        </w:rPr>
        <w:t xml:space="preserve"> Valenciana, </w:t>
      </w:r>
      <w:proofErr w:type="spellStart"/>
      <w:r w:rsidRPr="00F214A6">
        <w:rPr>
          <w:rFonts w:ascii="Garamond" w:hAnsi="Garamond"/>
          <w:sz w:val="24"/>
          <w:szCs w:val="24"/>
          <w:lang w:val="en-US"/>
        </w:rPr>
        <w:t>Elkargi</w:t>
      </w:r>
      <w:proofErr w:type="spellEnd"/>
      <w:r w:rsidRPr="00F214A6">
        <w:rPr>
          <w:rFonts w:ascii="Garamond" w:hAnsi="Garamond"/>
          <w:sz w:val="24"/>
          <w:szCs w:val="24"/>
          <w:lang w:val="en-US"/>
        </w:rPr>
        <w:t xml:space="preserve">, and </w:t>
      </w:r>
      <w:proofErr w:type="spellStart"/>
      <w:r w:rsidRPr="00F214A6">
        <w:rPr>
          <w:rFonts w:ascii="Garamond" w:hAnsi="Garamond"/>
          <w:sz w:val="24"/>
          <w:szCs w:val="24"/>
          <w:lang w:val="en-US"/>
        </w:rPr>
        <w:t>Iberaval</w:t>
      </w:r>
      <w:proofErr w:type="spellEnd"/>
      <w:r w:rsidRPr="00F214A6">
        <w:rPr>
          <w:rFonts w:ascii="Garamond" w:hAnsi="Garamond"/>
          <w:sz w:val="24"/>
          <w:szCs w:val="24"/>
          <w:lang w:val="en-US"/>
        </w:rPr>
        <w:t>. Participants in the study represent 88.7% of industry turnover. Considering this data, we consider the sample to be sufficiently representative of the universe, allowing the completion of the study and the establishment of conclusions.</w:t>
      </w:r>
    </w:p>
    <w:p w14:paraId="58B22F94" w14:textId="77777777" w:rsidR="005A12A1" w:rsidRPr="00F214A6" w:rsidRDefault="005A12A1" w:rsidP="00214D5D">
      <w:pPr>
        <w:pStyle w:val="Textoindependiente"/>
        <w:ind w:firstLine="680"/>
        <w:rPr>
          <w:caps/>
          <w:sz w:val="24"/>
          <w:szCs w:val="24"/>
          <w:lang w:val="en-US"/>
        </w:rPr>
      </w:pPr>
    </w:p>
    <w:p w14:paraId="46D837AD" w14:textId="77777777" w:rsidR="00F34FFC" w:rsidRDefault="006E1245" w:rsidP="00F34FFC">
      <w:pPr>
        <w:autoSpaceDE w:val="0"/>
        <w:jc w:val="both"/>
        <w:rPr>
          <w:rFonts w:ascii="Garamond" w:hAnsi="Garamond"/>
          <w:b/>
          <w:caps/>
          <w:sz w:val="24"/>
          <w:szCs w:val="24"/>
          <w:lang w:val="en-US"/>
        </w:rPr>
      </w:pPr>
      <w:r w:rsidRPr="00F214A6">
        <w:rPr>
          <w:rFonts w:ascii="Garamond" w:hAnsi="Garamond"/>
          <w:b/>
          <w:sz w:val="24"/>
          <w:szCs w:val="24"/>
          <w:lang w:val="en-US"/>
        </w:rPr>
        <w:t>Components and data analysis</w:t>
      </w:r>
    </w:p>
    <w:p w14:paraId="6FDCCBCD" w14:textId="77777777" w:rsidR="00F34FFC" w:rsidRDefault="00F34FFC" w:rsidP="00F34FFC">
      <w:pPr>
        <w:autoSpaceDE w:val="0"/>
        <w:jc w:val="both"/>
        <w:rPr>
          <w:rFonts w:ascii="Garamond" w:hAnsi="Garamond"/>
          <w:b/>
          <w:caps/>
          <w:sz w:val="24"/>
          <w:szCs w:val="24"/>
          <w:lang w:val="en-US"/>
        </w:rPr>
      </w:pPr>
    </w:p>
    <w:p w14:paraId="04835D28" w14:textId="77777777" w:rsidR="005A12A1" w:rsidRPr="00F34FFC" w:rsidRDefault="00DD709A" w:rsidP="00F34FFC">
      <w:pPr>
        <w:autoSpaceDE w:val="0"/>
        <w:jc w:val="both"/>
        <w:rPr>
          <w:rFonts w:ascii="Garamond" w:hAnsi="Garamond"/>
          <w:b/>
          <w:caps/>
          <w:sz w:val="24"/>
          <w:szCs w:val="24"/>
          <w:lang w:val="en-US"/>
        </w:rPr>
      </w:pPr>
      <w:r w:rsidRPr="00F214A6">
        <w:rPr>
          <w:rFonts w:ascii="Garamond" w:hAnsi="Garamond"/>
          <w:sz w:val="24"/>
          <w:szCs w:val="24"/>
          <w:lang w:val="en-US"/>
        </w:rPr>
        <w:t>In order to quantify legitimacy we adopt the components presented by Thomas (2005) in his model, which consists of two dimensions and six variables (figure 1). Juxtaposing the two dimensions creates a 3x3 matrix with nine components (table 1).</w:t>
      </w:r>
    </w:p>
    <w:p w14:paraId="3E996760" w14:textId="77777777" w:rsidR="005A12A1" w:rsidRDefault="005A12A1" w:rsidP="00214D5D">
      <w:pPr>
        <w:ind w:firstLine="680"/>
        <w:jc w:val="both"/>
        <w:rPr>
          <w:rFonts w:ascii="Garamond" w:hAnsi="Garamond"/>
          <w:sz w:val="24"/>
          <w:szCs w:val="24"/>
          <w:lang w:val="en-US"/>
        </w:rPr>
      </w:pPr>
    </w:p>
    <w:p w14:paraId="1E1FAF49" w14:textId="77777777" w:rsidR="001F16D1" w:rsidRDefault="001F16D1" w:rsidP="00214D5D">
      <w:pPr>
        <w:ind w:firstLine="680"/>
        <w:jc w:val="both"/>
        <w:rPr>
          <w:rFonts w:ascii="Garamond" w:hAnsi="Garamond"/>
          <w:sz w:val="24"/>
          <w:szCs w:val="24"/>
          <w:lang w:val="en-US"/>
        </w:rPr>
      </w:pPr>
    </w:p>
    <w:p w14:paraId="40943C17"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Table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iCs/>
          <w:szCs w:val="24"/>
          <w:lang w:val="en-US"/>
        </w:rPr>
        <w:t>Components</w:t>
      </w:r>
      <w:r w:rsidRPr="00F34FFC">
        <w:rPr>
          <w:rFonts w:ascii="Garamond" w:hAnsi="Garamond"/>
          <w:i/>
          <w:szCs w:val="24"/>
          <w:lang w:val="en-US"/>
        </w:rPr>
        <w:t xml:space="preserve"> of organizational legitimacy</w:t>
      </w:r>
    </w:p>
    <w:tbl>
      <w:tblPr>
        <w:tblW w:w="8405" w:type="dxa"/>
        <w:jc w:val="center"/>
        <w:tblLayout w:type="fixed"/>
        <w:tblCellMar>
          <w:left w:w="70" w:type="dxa"/>
          <w:right w:w="70" w:type="dxa"/>
        </w:tblCellMar>
        <w:tblLook w:val="0000" w:firstRow="0" w:lastRow="0" w:firstColumn="0" w:lastColumn="0" w:noHBand="0" w:noVBand="0"/>
      </w:tblPr>
      <w:tblGrid>
        <w:gridCol w:w="703"/>
        <w:gridCol w:w="2342"/>
        <w:gridCol w:w="2886"/>
        <w:gridCol w:w="2474"/>
      </w:tblGrid>
      <w:tr w:rsidR="005A12A1" w:rsidRPr="00034A60" w14:paraId="5A71E8B7" w14:textId="77777777" w:rsidTr="00F34FFC">
        <w:trPr>
          <w:cantSplit/>
          <w:trHeight w:val="484"/>
          <w:jc w:val="center"/>
        </w:trPr>
        <w:tc>
          <w:tcPr>
            <w:tcW w:w="703" w:type="dxa"/>
            <w:tcBorders>
              <w:top w:val="single" w:sz="1" w:space="0" w:color="000000"/>
              <w:left w:val="single" w:sz="1" w:space="0" w:color="000000"/>
              <w:bottom w:val="single" w:sz="1" w:space="0" w:color="000000"/>
            </w:tcBorders>
            <w:shd w:val="clear" w:color="auto" w:fill="F3F3F3"/>
            <w:vAlign w:val="center"/>
          </w:tcPr>
          <w:p w14:paraId="11D21D84" w14:textId="77777777" w:rsidR="005A12A1" w:rsidRPr="00F214A6" w:rsidRDefault="00DD709A" w:rsidP="00214D5D">
            <w:pPr>
              <w:snapToGrid w:val="0"/>
              <w:spacing w:before="40" w:after="40"/>
              <w:ind w:left="113" w:right="113"/>
              <w:jc w:val="both"/>
              <w:rPr>
                <w:rFonts w:ascii="Garamond" w:hAnsi="Garamond"/>
                <w:b/>
                <w:sz w:val="24"/>
                <w:szCs w:val="24"/>
                <w:lang w:val="en-US"/>
                <w:eastAsianLayout w:id="-458560512" w:vert="1"/>
              </w:rPr>
            </w:pPr>
            <w:r w:rsidRPr="00F214A6">
              <w:rPr>
                <w:rFonts w:ascii="Garamond" w:hAnsi="Garamond"/>
                <w:b/>
                <w:sz w:val="24"/>
                <w:szCs w:val="24"/>
                <w:lang w:val="en-US"/>
                <w:eastAsianLayout w:id="-458560511" w:vert="1"/>
              </w:rPr>
              <w:t> </w:t>
            </w:r>
          </w:p>
        </w:tc>
        <w:tc>
          <w:tcPr>
            <w:tcW w:w="2342" w:type="dxa"/>
            <w:tcBorders>
              <w:top w:val="single" w:sz="1" w:space="0" w:color="000000"/>
              <w:left w:val="single" w:sz="1" w:space="0" w:color="000000"/>
              <w:bottom w:val="single" w:sz="1" w:space="0" w:color="000000"/>
            </w:tcBorders>
            <w:shd w:val="clear" w:color="auto" w:fill="F3F3F3"/>
            <w:vAlign w:val="center"/>
          </w:tcPr>
          <w:p w14:paraId="44C31EA7"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Pragmatic</w:t>
            </w:r>
          </w:p>
        </w:tc>
        <w:tc>
          <w:tcPr>
            <w:tcW w:w="2886" w:type="dxa"/>
            <w:tcBorders>
              <w:top w:val="single" w:sz="1" w:space="0" w:color="000000"/>
              <w:left w:val="single" w:sz="1" w:space="0" w:color="000000"/>
              <w:bottom w:val="single" w:sz="1" w:space="0" w:color="000000"/>
            </w:tcBorders>
            <w:shd w:val="clear" w:color="auto" w:fill="F3F3F3"/>
            <w:vAlign w:val="center"/>
          </w:tcPr>
          <w:p w14:paraId="0C7BD45F"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Moral</w:t>
            </w:r>
          </w:p>
        </w:tc>
        <w:tc>
          <w:tcPr>
            <w:tcW w:w="2474"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058F02FA"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Cognitive</w:t>
            </w:r>
          </w:p>
        </w:tc>
      </w:tr>
      <w:tr w:rsidR="005A12A1" w:rsidRPr="00D00E51" w14:paraId="63AD8AD8" w14:textId="77777777" w:rsidTr="00F34FFC">
        <w:trPr>
          <w:cantSplit/>
          <w:trHeight w:val="1253"/>
          <w:jc w:val="center"/>
        </w:trPr>
        <w:tc>
          <w:tcPr>
            <w:tcW w:w="703" w:type="dxa"/>
            <w:tcBorders>
              <w:top w:val="single" w:sz="1" w:space="0" w:color="000000"/>
              <w:left w:val="single" w:sz="1" w:space="0" w:color="000000"/>
              <w:bottom w:val="single" w:sz="1" w:space="0" w:color="000000"/>
            </w:tcBorders>
            <w:shd w:val="clear" w:color="auto" w:fill="F3F3F3"/>
            <w:vAlign w:val="center"/>
          </w:tcPr>
          <w:p w14:paraId="5EF9A1A6"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10" w:vert="1"/>
              </w:rPr>
            </w:pPr>
            <w:r w:rsidRPr="00F214A6">
              <w:rPr>
                <w:rFonts w:ascii="Garamond" w:hAnsi="Garamond"/>
                <w:b/>
                <w:sz w:val="24"/>
                <w:szCs w:val="24"/>
                <w:lang w:val="en-US"/>
                <w:eastAsianLayout w:id="-458560509" w:vert="1"/>
              </w:rPr>
              <w:t>Propriety</w:t>
            </w:r>
          </w:p>
        </w:tc>
        <w:tc>
          <w:tcPr>
            <w:tcW w:w="2342" w:type="dxa"/>
            <w:tcBorders>
              <w:top w:val="single" w:sz="1" w:space="0" w:color="000000"/>
              <w:left w:val="single" w:sz="1" w:space="0" w:color="000000"/>
              <w:bottom w:val="single" w:sz="1" w:space="0" w:color="000000"/>
            </w:tcBorders>
            <w:shd w:val="clear" w:color="auto" w:fill="auto"/>
            <w:vAlign w:val="center"/>
          </w:tcPr>
          <w:p w14:paraId="29BB501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LI01.You believe that all your organization's actions help it achieve its goals</w:t>
            </w:r>
          </w:p>
        </w:tc>
        <w:tc>
          <w:tcPr>
            <w:tcW w:w="2886" w:type="dxa"/>
            <w:tcBorders>
              <w:top w:val="single" w:sz="1" w:space="0" w:color="000000"/>
              <w:left w:val="single" w:sz="1" w:space="0" w:color="000000"/>
              <w:bottom w:val="single" w:sz="1" w:space="0" w:color="000000"/>
            </w:tcBorders>
            <w:shd w:val="clear" w:color="auto" w:fill="auto"/>
            <w:vAlign w:val="center"/>
          </w:tcPr>
          <w:p w14:paraId="11FC8D0D"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LI04.You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BBE78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LI07.You believe that your organization's actions help simplify the decision making process, accomplishing better, more rational decisions</w:t>
            </w:r>
          </w:p>
        </w:tc>
      </w:tr>
      <w:tr w:rsidR="005A12A1" w:rsidRPr="00D00E51" w14:paraId="7B03955E" w14:textId="77777777" w:rsidTr="00F34FFC">
        <w:trPr>
          <w:cantSplit/>
          <w:trHeight w:val="1134"/>
          <w:jc w:val="center"/>
        </w:trPr>
        <w:tc>
          <w:tcPr>
            <w:tcW w:w="703" w:type="dxa"/>
            <w:tcBorders>
              <w:top w:val="single" w:sz="1" w:space="0" w:color="000000"/>
              <w:left w:val="single" w:sz="1" w:space="0" w:color="000000"/>
              <w:bottom w:val="single" w:sz="1" w:space="0" w:color="000000"/>
            </w:tcBorders>
            <w:shd w:val="clear" w:color="auto" w:fill="F3F3F3"/>
            <w:vAlign w:val="center"/>
          </w:tcPr>
          <w:p w14:paraId="13B45CC9"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8" w:vert="1"/>
              </w:rPr>
            </w:pPr>
            <w:r w:rsidRPr="00F214A6">
              <w:rPr>
                <w:rFonts w:ascii="Garamond" w:hAnsi="Garamond"/>
                <w:b/>
                <w:sz w:val="24"/>
                <w:szCs w:val="24"/>
                <w:lang w:val="en-US"/>
                <w:eastAsianLayout w:id="-458560507" w:vert="1"/>
              </w:rPr>
              <w:t>Endorsement</w:t>
            </w:r>
          </w:p>
        </w:tc>
        <w:tc>
          <w:tcPr>
            <w:tcW w:w="2342" w:type="dxa"/>
            <w:tcBorders>
              <w:top w:val="single" w:sz="1" w:space="0" w:color="000000"/>
              <w:left w:val="single" w:sz="1" w:space="0" w:color="000000"/>
              <w:bottom w:val="single" w:sz="1" w:space="0" w:color="000000"/>
            </w:tcBorders>
            <w:shd w:val="clear" w:color="auto" w:fill="auto"/>
            <w:vAlign w:val="center"/>
          </w:tcPr>
          <w:p w14:paraId="0958361B"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LI02.Your colleagues believe that all your organization's actions help it achieve its goals</w:t>
            </w:r>
          </w:p>
        </w:tc>
        <w:tc>
          <w:tcPr>
            <w:tcW w:w="2886" w:type="dxa"/>
            <w:tcBorders>
              <w:top w:val="single" w:sz="1" w:space="0" w:color="000000"/>
              <w:left w:val="single" w:sz="1" w:space="0" w:color="000000"/>
              <w:bottom w:val="single" w:sz="1" w:space="0" w:color="000000"/>
            </w:tcBorders>
            <w:shd w:val="clear" w:color="auto" w:fill="auto"/>
            <w:vAlign w:val="center"/>
          </w:tcPr>
          <w:p w14:paraId="18206E4C"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LI05.Your colleagues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F340DD6"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LI08.Your colleagues believe that your organization's actions help simplify the decision making process, accomplishing better, more rational decisions</w:t>
            </w:r>
          </w:p>
        </w:tc>
      </w:tr>
      <w:tr w:rsidR="005A12A1" w:rsidRPr="00D00E51" w14:paraId="39140124" w14:textId="77777777" w:rsidTr="00F34FFC">
        <w:trPr>
          <w:cantSplit/>
          <w:trHeight w:val="1369"/>
          <w:jc w:val="center"/>
        </w:trPr>
        <w:tc>
          <w:tcPr>
            <w:tcW w:w="703" w:type="dxa"/>
            <w:tcBorders>
              <w:top w:val="single" w:sz="1" w:space="0" w:color="000000"/>
              <w:left w:val="single" w:sz="1" w:space="0" w:color="000000"/>
              <w:bottom w:val="single" w:sz="1" w:space="0" w:color="000000"/>
            </w:tcBorders>
            <w:shd w:val="clear" w:color="auto" w:fill="F3F3F3"/>
            <w:vAlign w:val="center"/>
          </w:tcPr>
          <w:p w14:paraId="5386340E"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6" w:vert="1"/>
              </w:rPr>
            </w:pPr>
            <w:r w:rsidRPr="00F214A6">
              <w:rPr>
                <w:rFonts w:ascii="Garamond" w:hAnsi="Garamond"/>
                <w:b/>
                <w:sz w:val="24"/>
                <w:szCs w:val="24"/>
                <w:lang w:val="en-US"/>
                <w:eastAsianLayout w:id="-458560505" w:vert="1"/>
              </w:rPr>
              <w:t>Authorization</w:t>
            </w:r>
          </w:p>
        </w:tc>
        <w:tc>
          <w:tcPr>
            <w:tcW w:w="2342" w:type="dxa"/>
            <w:tcBorders>
              <w:top w:val="single" w:sz="1" w:space="0" w:color="000000"/>
              <w:left w:val="single" w:sz="1" w:space="0" w:color="000000"/>
              <w:bottom w:val="single" w:sz="1" w:space="0" w:color="000000"/>
            </w:tcBorders>
            <w:shd w:val="clear" w:color="auto" w:fill="auto"/>
            <w:vAlign w:val="center"/>
          </w:tcPr>
          <w:p w14:paraId="5E87CF22"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LI03.Your boss/bosses believe that all your organization's actions help it achieve its goals</w:t>
            </w:r>
          </w:p>
        </w:tc>
        <w:tc>
          <w:tcPr>
            <w:tcW w:w="2886" w:type="dxa"/>
            <w:tcBorders>
              <w:top w:val="single" w:sz="1" w:space="0" w:color="000000"/>
              <w:left w:val="single" w:sz="1" w:space="0" w:color="000000"/>
              <w:bottom w:val="single" w:sz="1" w:space="0" w:color="000000"/>
            </w:tcBorders>
            <w:shd w:val="clear" w:color="auto" w:fill="auto"/>
            <w:vAlign w:val="center"/>
          </w:tcPr>
          <w:p w14:paraId="1B22213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LI06.Your boss/bosses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761415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LI09.Your boss/bosses believe that your organization's actions help simplify the decision making process, accomplishing better, more rational decisions</w:t>
            </w:r>
          </w:p>
        </w:tc>
      </w:tr>
    </w:tbl>
    <w:p w14:paraId="4F7CA2CF" w14:textId="77777777" w:rsid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191.</w:t>
      </w:r>
    </w:p>
    <w:p w14:paraId="7B7ECC24" w14:textId="77777777" w:rsidR="00F34FFC" w:rsidRDefault="00F34FFC" w:rsidP="00F34FFC">
      <w:pPr>
        <w:jc w:val="center"/>
        <w:rPr>
          <w:rFonts w:ascii="Garamond" w:hAnsi="Garamond"/>
          <w:szCs w:val="24"/>
          <w:lang w:val="en-US"/>
        </w:rPr>
      </w:pPr>
    </w:p>
    <w:p w14:paraId="4A6A8554" w14:textId="77777777" w:rsidR="00F34FFC" w:rsidRDefault="00F34FFC" w:rsidP="00F34FFC">
      <w:pPr>
        <w:jc w:val="center"/>
        <w:rPr>
          <w:rFonts w:ascii="Garamond" w:hAnsi="Garamond"/>
          <w:szCs w:val="24"/>
          <w:lang w:val="en-US"/>
        </w:rPr>
      </w:pPr>
    </w:p>
    <w:p w14:paraId="7389B1EB" w14:textId="77777777" w:rsidR="005A12A1" w:rsidRPr="00F34FFC" w:rsidRDefault="00DD709A" w:rsidP="00F34FFC">
      <w:pPr>
        <w:jc w:val="both"/>
        <w:rPr>
          <w:rFonts w:ascii="Garamond" w:hAnsi="Garamond"/>
          <w:szCs w:val="24"/>
          <w:lang w:val="en-US"/>
        </w:rPr>
      </w:pPr>
      <w:r w:rsidRPr="00F214A6">
        <w:rPr>
          <w:rFonts w:ascii="Garamond" w:hAnsi="Garamond"/>
          <w:sz w:val="24"/>
          <w:szCs w:val="24"/>
          <w:lang w:val="en-US"/>
        </w:rPr>
        <w:t>Furthermore, Thomas (2005) simplifies this classification into a 2x2 matrix by reducing the number of relevant categories in each dimension. Thus, the author proposes to use a survey to elicit the extent of perceived legitimacy in each category using Likert-scaled responses. The results can then be plotted on a radar chart (figure 2) in such a way that the total area of the resulting quadrilateral polygon can be treated as an indicator of legitimacy.</w:t>
      </w:r>
    </w:p>
    <w:p w14:paraId="047B6C60" w14:textId="77777777" w:rsidR="005A12A1" w:rsidRPr="00F214A6" w:rsidRDefault="005A12A1" w:rsidP="00214D5D">
      <w:pPr>
        <w:ind w:firstLine="680"/>
        <w:jc w:val="both"/>
        <w:rPr>
          <w:rFonts w:ascii="Garamond" w:hAnsi="Garamond"/>
          <w:sz w:val="24"/>
          <w:szCs w:val="24"/>
          <w:lang w:val="en-US"/>
        </w:rPr>
      </w:pPr>
    </w:p>
    <w:p w14:paraId="0DF956DA" w14:textId="77777777" w:rsidR="005A12A1" w:rsidRPr="00F214A6" w:rsidRDefault="00DD709A" w:rsidP="00F34FFC">
      <w:pPr>
        <w:ind w:firstLine="680"/>
        <w:jc w:val="center"/>
        <w:rPr>
          <w:rFonts w:ascii="Garamond" w:hAnsi="Garamond"/>
          <w:i/>
          <w:sz w:val="24"/>
          <w:szCs w:val="24"/>
          <w:lang w:val="en-US"/>
        </w:rPr>
      </w:pPr>
      <w:r w:rsidRPr="00F34FFC">
        <w:rPr>
          <w:rFonts w:ascii="Garamond" w:hAnsi="Garamond"/>
          <w:caps/>
          <w:szCs w:val="24"/>
          <w:lang w:val="en-US"/>
        </w:rPr>
        <w:lastRenderedPageBreak/>
        <w:t>Figur</w:t>
      </w:r>
      <w:r w:rsidR="009F1477" w:rsidRPr="00F34FFC">
        <w:rPr>
          <w:rFonts w:ascii="Garamond" w:hAnsi="Garamond"/>
          <w:caps/>
          <w:szCs w:val="24"/>
          <w:lang w:val="en-US"/>
        </w:rPr>
        <w:t>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eastAsia="Times New Roman" w:hAnsi="Garamond"/>
          <w:i/>
          <w:iCs/>
          <w:szCs w:val="24"/>
          <w:lang w:val="en-US"/>
        </w:rPr>
        <w:t>Legitimacy component scores, overall legitimacy and focal point</w:t>
      </w:r>
      <w:r w:rsidRPr="00F34FFC">
        <w:rPr>
          <w:rFonts w:ascii="Garamond" w:eastAsia="Times New Roman" w:hAnsi="Garamond"/>
          <w:szCs w:val="24"/>
          <w:lang w:val="en-US"/>
        </w:rPr>
        <w:t xml:space="preserve"> </w:t>
      </w:r>
      <w:r w:rsidR="00B55D40" w:rsidRPr="00F214A6">
        <w:rPr>
          <w:rFonts w:ascii="Garamond" w:hAnsi="Garamond"/>
          <w:noProof/>
          <w:sz w:val="24"/>
          <w:szCs w:val="24"/>
          <w:lang w:eastAsia="es-ES"/>
        </w:rPr>
        <w:drawing>
          <wp:inline distT="0" distB="0" distL="0" distR="0" wp14:anchorId="4924DE20" wp14:editId="266A4A91">
            <wp:extent cx="2828925" cy="256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2562225"/>
                    </a:xfrm>
                    <a:prstGeom prst="rect">
                      <a:avLst/>
                    </a:prstGeom>
                    <a:solidFill>
                      <a:srgbClr val="FFFFFF"/>
                    </a:solidFill>
                    <a:ln>
                      <a:noFill/>
                    </a:ln>
                  </pic:spPr>
                </pic:pic>
              </a:graphicData>
            </a:graphic>
          </wp:inline>
        </w:drawing>
      </w:r>
    </w:p>
    <w:p w14:paraId="3185909C"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193.</w:t>
      </w:r>
    </w:p>
    <w:p w14:paraId="6C0978FA" w14:textId="77777777" w:rsidR="005A12A1" w:rsidRDefault="005A12A1" w:rsidP="00214D5D">
      <w:pPr>
        <w:ind w:firstLine="680"/>
        <w:jc w:val="both"/>
        <w:rPr>
          <w:rFonts w:ascii="Garamond" w:hAnsi="Garamond"/>
          <w:sz w:val="24"/>
          <w:szCs w:val="24"/>
          <w:lang w:val="en-US"/>
        </w:rPr>
      </w:pPr>
    </w:p>
    <w:p w14:paraId="4272F386" w14:textId="77777777" w:rsidR="00F34FFC" w:rsidRPr="00F214A6" w:rsidRDefault="00F34FFC" w:rsidP="00214D5D">
      <w:pPr>
        <w:ind w:firstLine="680"/>
        <w:jc w:val="both"/>
        <w:rPr>
          <w:rFonts w:ascii="Garamond" w:hAnsi="Garamond"/>
          <w:sz w:val="24"/>
          <w:szCs w:val="24"/>
          <w:lang w:val="en-US"/>
        </w:rPr>
      </w:pPr>
    </w:p>
    <w:p w14:paraId="4EF53A50"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 xml:space="preserve">Nevertheless, empirical study of legitimacy should include all variables in order to achieve maximum representativity. Taking this into account, we decided to make use of the more comprehensive model (3x3) with nine components (table 1). Reliability analysis of the scale surpassed accepted thresholds for newly developed scales, with a Cronbach alpha of 0.654 (Nunnally and Bernstein, 1994; Hair et al, 2006). The use of nine components instead of the four Thomas (2005) considers in his analysis makes it more problematic to calculate the total area of the resulting nonagon. Another issue to be overcome is the population's small size, 22 organizations, which makes any type of parametric analysis more difficult to perform. Given this context, we decided to analyze the components of legitimation with the </w:t>
      </w:r>
      <w:r w:rsidRPr="00F214A6">
        <w:rPr>
          <w:rFonts w:ascii="Garamond" w:hAnsi="Garamond"/>
          <w:i/>
          <w:iCs/>
          <w:sz w:val="24"/>
          <w:szCs w:val="24"/>
          <w:lang w:val="en-US"/>
        </w:rPr>
        <w:t>Analytic Hierarchy Process</w:t>
      </w:r>
      <w:r w:rsidRPr="00F214A6">
        <w:rPr>
          <w:rFonts w:ascii="Garamond" w:hAnsi="Garamond"/>
          <w:sz w:val="24"/>
          <w:szCs w:val="24"/>
          <w:lang w:val="en-US"/>
        </w:rPr>
        <w:t xml:space="preserve"> (AHP) developed by Saaty (1977, 1980). This method allows us to organize and evaluate various alternatives in order to reach a decision goal following specific criteria. Furthermore, as it is a non-parametric methodology it can be used with small population sizes.</w:t>
      </w:r>
    </w:p>
    <w:p w14:paraId="30CAF8B6" w14:textId="77777777" w:rsidR="005A12A1" w:rsidRPr="00F214A6" w:rsidRDefault="005A12A1" w:rsidP="00214D5D">
      <w:pPr>
        <w:ind w:firstLine="680"/>
        <w:jc w:val="both"/>
        <w:rPr>
          <w:rFonts w:ascii="Garamond" w:hAnsi="Garamond"/>
          <w:sz w:val="24"/>
          <w:szCs w:val="24"/>
          <w:lang w:val="en-US"/>
        </w:rPr>
      </w:pPr>
    </w:p>
    <w:p w14:paraId="75B43C4D"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The model for measuring legitimacy is shown in figure 3. In regards to the weight given to each criteria with respect to the overall goal, we consider that the absence of research pointing to any of the criteria within the referential locus as more important than the others entails that they should be considered equally important with respect to legitimacy (33%). There is no theoretical or empirical literature that shows that propriety, endorsement, or authorization are more important components of legitimacy than the others. In order to establish the weights that indicate the relative importance of the components (L101...L109) with respect to their encompassing referentia</w:t>
      </w:r>
      <w:r w:rsidR="005558AE" w:rsidRPr="00F214A6">
        <w:rPr>
          <w:rFonts w:ascii="Garamond" w:hAnsi="Garamond"/>
          <w:sz w:val="24"/>
          <w:szCs w:val="24"/>
          <w:lang w:val="en-US"/>
        </w:rPr>
        <w:t>l locus (propriety, endorsement</w:t>
      </w:r>
      <w:r w:rsidRPr="00F214A6">
        <w:rPr>
          <w:rFonts w:ascii="Garamond" w:hAnsi="Garamond"/>
          <w:sz w:val="24"/>
          <w:szCs w:val="24"/>
          <w:lang w:val="en-US"/>
        </w:rPr>
        <w:t xml:space="preserve"> and authorization) we used factor analysis.</w:t>
      </w:r>
    </w:p>
    <w:p w14:paraId="1E7A3C2D" w14:textId="77777777" w:rsidR="005A12A1" w:rsidRPr="00F214A6" w:rsidRDefault="005A12A1" w:rsidP="00214D5D">
      <w:pPr>
        <w:ind w:firstLine="680"/>
        <w:jc w:val="both"/>
        <w:rPr>
          <w:rFonts w:ascii="Garamond" w:hAnsi="Garamond"/>
          <w:sz w:val="24"/>
          <w:szCs w:val="24"/>
          <w:lang w:val="en-US"/>
        </w:rPr>
      </w:pPr>
    </w:p>
    <w:p w14:paraId="52635AE5"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3.</w:t>
      </w:r>
      <w:r w:rsidRPr="00F34FFC">
        <w:rPr>
          <w:rFonts w:ascii="Garamond" w:hAnsi="Garamond"/>
          <w:szCs w:val="24"/>
          <w:lang w:val="en-US"/>
        </w:rPr>
        <w:t xml:space="preserve"> </w:t>
      </w:r>
      <w:r w:rsidRPr="00F34FFC">
        <w:rPr>
          <w:rFonts w:ascii="Garamond" w:hAnsi="Garamond"/>
          <w:i/>
          <w:szCs w:val="24"/>
          <w:lang w:val="en-US"/>
        </w:rPr>
        <w:t>Model for Measuring Legitimacy</w:t>
      </w:r>
    </w:p>
    <w:p w14:paraId="48A2E725"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lastRenderedPageBreak/>
        <w:drawing>
          <wp:inline distT="0" distB="0" distL="0" distR="0" wp14:anchorId="56BB6774" wp14:editId="6E7CB19E">
            <wp:extent cx="1885950" cy="2924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696" t="-1509" r="-2231" b="-2809"/>
                    <a:stretch>
                      <a:fillRect/>
                    </a:stretch>
                  </pic:blipFill>
                  <pic:spPr bwMode="auto">
                    <a:xfrm>
                      <a:off x="0" y="0"/>
                      <a:ext cx="1885950" cy="2924175"/>
                    </a:xfrm>
                    <a:prstGeom prst="rect">
                      <a:avLst/>
                    </a:prstGeom>
                    <a:solidFill>
                      <a:srgbClr val="FFFFFF"/>
                    </a:solidFill>
                    <a:ln>
                      <a:noFill/>
                    </a:ln>
                  </pic:spPr>
                </pic:pic>
              </a:graphicData>
            </a:graphic>
          </wp:inline>
        </w:drawing>
      </w:r>
    </w:p>
    <w:p w14:paraId="2C8A5C1F"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Own research.</w:t>
      </w:r>
    </w:p>
    <w:p w14:paraId="52FCD765" w14:textId="77777777" w:rsidR="005A12A1" w:rsidRDefault="005A12A1" w:rsidP="00214D5D">
      <w:pPr>
        <w:autoSpaceDE w:val="0"/>
        <w:ind w:firstLine="680"/>
        <w:jc w:val="both"/>
        <w:rPr>
          <w:rFonts w:ascii="Garamond" w:hAnsi="Garamond"/>
          <w:sz w:val="24"/>
          <w:szCs w:val="24"/>
          <w:lang w:val="en-US"/>
        </w:rPr>
      </w:pPr>
    </w:p>
    <w:p w14:paraId="48E01821" w14:textId="77777777" w:rsidR="00F34FFC" w:rsidRPr="00F214A6" w:rsidRDefault="00F34FFC" w:rsidP="00214D5D">
      <w:pPr>
        <w:autoSpaceDE w:val="0"/>
        <w:ind w:firstLine="680"/>
        <w:jc w:val="both"/>
        <w:rPr>
          <w:rFonts w:ascii="Garamond" w:hAnsi="Garamond"/>
          <w:sz w:val="24"/>
          <w:szCs w:val="24"/>
          <w:lang w:val="en-US"/>
        </w:rPr>
      </w:pPr>
    </w:p>
    <w:p w14:paraId="580A8D0B"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In our case the correlation matrix, Bartlett's test, and the KMO measure of sampling adequacy all showed that the components within each referential locus were correlated, fulfilling criteria for factor analysis (table 2). The different weights assigned to the components show relative importance with respect to their criteria.</w:t>
      </w:r>
    </w:p>
    <w:p w14:paraId="27D1BDC8" w14:textId="77777777" w:rsidR="005A12A1" w:rsidRPr="00F214A6" w:rsidRDefault="005A12A1" w:rsidP="00214D5D">
      <w:pPr>
        <w:autoSpaceDE w:val="0"/>
        <w:ind w:firstLine="680"/>
        <w:jc w:val="both"/>
        <w:rPr>
          <w:rFonts w:ascii="Garamond" w:hAnsi="Garamond"/>
          <w:sz w:val="24"/>
          <w:szCs w:val="24"/>
          <w:lang w:val="en-US"/>
        </w:rPr>
      </w:pPr>
    </w:p>
    <w:p w14:paraId="346A72E1" w14:textId="77777777" w:rsidR="005A12A1" w:rsidRPr="00F34FFC" w:rsidRDefault="00DD709A" w:rsidP="00F34FFC">
      <w:pPr>
        <w:ind w:firstLine="680"/>
        <w:jc w:val="center"/>
        <w:rPr>
          <w:rFonts w:ascii="Garamond" w:hAnsi="Garamond"/>
          <w:i/>
          <w:iCs/>
          <w:szCs w:val="24"/>
          <w:lang w:val="en-US"/>
        </w:rPr>
      </w:pPr>
      <w:r w:rsidRPr="00F34FFC">
        <w:rPr>
          <w:rFonts w:ascii="Garamond" w:hAnsi="Garamond"/>
          <w:caps/>
          <w:szCs w:val="24"/>
          <w:lang w:val="en-US"/>
        </w:rPr>
        <w:t>TablE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hAnsi="Garamond"/>
          <w:i/>
          <w:iCs/>
          <w:szCs w:val="24"/>
          <w:lang w:val="en-US"/>
        </w:rPr>
        <w:t>Factor Matrix for Referential Locus Components</w:t>
      </w:r>
    </w:p>
    <w:tbl>
      <w:tblPr>
        <w:tblW w:w="8533" w:type="dxa"/>
        <w:jc w:val="center"/>
        <w:tblLayout w:type="fixed"/>
        <w:tblCellMar>
          <w:left w:w="93" w:type="dxa"/>
          <w:right w:w="93" w:type="dxa"/>
        </w:tblCellMar>
        <w:tblLook w:val="0000" w:firstRow="0" w:lastRow="0" w:firstColumn="0" w:lastColumn="0" w:noHBand="0" w:noVBand="0"/>
      </w:tblPr>
      <w:tblGrid>
        <w:gridCol w:w="1330"/>
        <w:gridCol w:w="1730"/>
        <w:gridCol w:w="1133"/>
        <w:gridCol w:w="1662"/>
        <w:gridCol w:w="1133"/>
        <w:gridCol w:w="1545"/>
      </w:tblGrid>
      <w:tr w:rsidR="005A12A1" w:rsidRPr="00034A60" w14:paraId="6E7F8067"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3F3F3"/>
            <w:vAlign w:val="center"/>
          </w:tcPr>
          <w:p w14:paraId="72C5F7AE"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730" w:type="dxa"/>
            <w:tcBorders>
              <w:top w:val="single" w:sz="1" w:space="0" w:color="000000"/>
              <w:left w:val="single" w:sz="1" w:space="0" w:color="000000"/>
              <w:bottom w:val="single" w:sz="1" w:space="0" w:color="000000"/>
            </w:tcBorders>
            <w:shd w:val="clear" w:color="auto" w:fill="F3F3F3"/>
            <w:vAlign w:val="center"/>
          </w:tcPr>
          <w:p w14:paraId="2FBBB52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Propriety Factor</w:t>
            </w:r>
          </w:p>
        </w:tc>
        <w:tc>
          <w:tcPr>
            <w:tcW w:w="1133" w:type="dxa"/>
            <w:tcBorders>
              <w:top w:val="single" w:sz="1" w:space="0" w:color="000000"/>
              <w:left w:val="single" w:sz="1" w:space="0" w:color="000000"/>
              <w:bottom w:val="single" w:sz="1" w:space="0" w:color="000000"/>
            </w:tcBorders>
            <w:shd w:val="clear" w:color="auto" w:fill="F3F3F3"/>
            <w:vAlign w:val="center"/>
          </w:tcPr>
          <w:p w14:paraId="4F21D5E9"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662" w:type="dxa"/>
            <w:tcBorders>
              <w:top w:val="single" w:sz="1" w:space="0" w:color="000000"/>
              <w:left w:val="single" w:sz="1" w:space="0" w:color="000000"/>
              <w:bottom w:val="single" w:sz="1" w:space="0" w:color="000000"/>
            </w:tcBorders>
            <w:shd w:val="clear" w:color="auto" w:fill="F3F3F3"/>
            <w:vAlign w:val="center"/>
          </w:tcPr>
          <w:p w14:paraId="60183AB0"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Endorsement Factor</w:t>
            </w:r>
          </w:p>
        </w:tc>
        <w:tc>
          <w:tcPr>
            <w:tcW w:w="1133" w:type="dxa"/>
            <w:tcBorders>
              <w:top w:val="single" w:sz="1" w:space="0" w:color="000000"/>
              <w:left w:val="single" w:sz="1" w:space="0" w:color="000000"/>
              <w:bottom w:val="single" w:sz="1" w:space="0" w:color="000000"/>
            </w:tcBorders>
            <w:shd w:val="clear" w:color="auto" w:fill="F3F3F3"/>
            <w:vAlign w:val="center"/>
          </w:tcPr>
          <w:p w14:paraId="1C90531F"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545"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67D1964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 xml:space="preserve">Authorization Factor </w:t>
            </w:r>
          </w:p>
        </w:tc>
      </w:tr>
      <w:tr w:rsidR="005A12A1" w:rsidRPr="00034A60" w14:paraId="7E4F493E"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2C6DE25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LI01</w:t>
            </w:r>
          </w:p>
        </w:tc>
        <w:tc>
          <w:tcPr>
            <w:tcW w:w="1730" w:type="dxa"/>
            <w:tcBorders>
              <w:top w:val="single" w:sz="1" w:space="0" w:color="000000"/>
              <w:left w:val="single" w:sz="1" w:space="0" w:color="000000"/>
              <w:bottom w:val="single" w:sz="1" w:space="0" w:color="000000"/>
            </w:tcBorders>
            <w:shd w:val="clear" w:color="auto" w:fill="FFFFFF"/>
            <w:vAlign w:val="center"/>
          </w:tcPr>
          <w:p w14:paraId="0E91AF7A"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0,831</w:t>
            </w:r>
          </w:p>
        </w:tc>
        <w:tc>
          <w:tcPr>
            <w:tcW w:w="1133" w:type="dxa"/>
            <w:tcBorders>
              <w:top w:val="single" w:sz="1" w:space="0" w:color="000000"/>
              <w:left w:val="single" w:sz="1" w:space="0" w:color="000000"/>
              <w:bottom w:val="single" w:sz="1" w:space="0" w:color="000000"/>
            </w:tcBorders>
            <w:shd w:val="clear" w:color="auto" w:fill="auto"/>
            <w:vAlign w:val="center"/>
          </w:tcPr>
          <w:p w14:paraId="06059CD0"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LI02</w:t>
            </w:r>
          </w:p>
        </w:tc>
        <w:tc>
          <w:tcPr>
            <w:tcW w:w="1662" w:type="dxa"/>
            <w:tcBorders>
              <w:top w:val="single" w:sz="1" w:space="0" w:color="000000"/>
              <w:left w:val="single" w:sz="1" w:space="0" w:color="000000"/>
              <w:bottom w:val="single" w:sz="1" w:space="0" w:color="000000"/>
            </w:tcBorders>
            <w:shd w:val="clear" w:color="auto" w:fill="auto"/>
            <w:vAlign w:val="center"/>
          </w:tcPr>
          <w:p w14:paraId="205D8199"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0,939</w:t>
            </w:r>
          </w:p>
        </w:tc>
        <w:tc>
          <w:tcPr>
            <w:tcW w:w="1133" w:type="dxa"/>
            <w:tcBorders>
              <w:top w:val="single" w:sz="1" w:space="0" w:color="000000"/>
              <w:left w:val="single" w:sz="1" w:space="0" w:color="000000"/>
              <w:bottom w:val="single" w:sz="1" w:space="0" w:color="000000"/>
            </w:tcBorders>
            <w:shd w:val="clear" w:color="auto" w:fill="auto"/>
            <w:vAlign w:val="center"/>
          </w:tcPr>
          <w:p w14:paraId="3E41A09A"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LI03</w:t>
            </w:r>
          </w:p>
        </w:tc>
        <w:tc>
          <w:tcPr>
            <w:tcW w:w="154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6BAFB80"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0,669</w:t>
            </w:r>
          </w:p>
        </w:tc>
      </w:tr>
      <w:tr w:rsidR="005A12A1" w:rsidRPr="00F214A6" w14:paraId="1BCE7BCA"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42B9D785"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LI04</w:t>
            </w:r>
          </w:p>
        </w:tc>
        <w:tc>
          <w:tcPr>
            <w:tcW w:w="1730" w:type="dxa"/>
            <w:tcBorders>
              <w:top w:val="single" w:sz="1" w:space="0" w:color="000000"/>
              <w:left w:val="single" w:sz="1" w:space="0" w:color="000000"/>
              <w:bottom w:val="single" w:sz="1" w:space="0" w:color="000000"/>
            </w:tcBorders>
            <w:shd w:val="clear" w:color="auto" w:fill="FFFFFF"/>
            <w:vAlign w:val="center"/>
          </w:tcPr>
          <w:p w14:paraId="6E8DD6DD"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0,709</w:t>
            </w:r>
          </w:p>
        </w:tc>
        <w:tc>
          <w:tcPr>
            <w:tcW w:w="1133" w:type="dxa"/>
            <w:tcBorders>
              <w:top w:val="single" w:sz="1" w:space="0" w:color="000000"/>
              <w:left w:val="single" w:sz="1" w:space="0" w:color="000000"/>
              <w:bottom w:val="single" w:sz="1" w:space="0" w:color="000000"/>
            </w:tcBorders>
            <w:shd w:val="clear" w:color="auto" w:fill="auto"/>
            <w:vAlign w:val="center"/>
          </w:tcPr>
          <w:p w14:paraId="5278DC69"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LI05</w:t>
            </w:r>
          </w:p>
        </w:tc>
        <w:tc>
          <w:tcPr>
            <w:tcW w:w="1662" w:type="dxa"/>
            <w:tcBorders>
              <w:top w:val="single" w:sz="1" w:space="0" w:color="000000"/>
              <w:left w:val="single" w:sz="1" w:space="0" w:color="000000"/>
              <w:bottom w:val="single" w:sz="1" w:space="0" w:color="000000"/>
            </w:tcBorders>
            <w:shd w:val="clear" w:color="auto" w:fill="auto"/>
            <w:vAlign w:val="center"/>
          </w:tcPr>
          <w:p w14:paraId="01AC995E"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0,896</w:t>
            </w:r>
          </w:p>
        </w:tc>
        <w:tc>
          <w:tcPr>
            <w:tcW w:w="1133" w:type="dxa"/>
            <w:tcBorders>
              <w:top w:val="single" w:sz="1" w:space="0" w:color="000000"/>
              <w:left w:val="single" w:sz="1" w:space="0" w:color="000000"/>
              <w:bottom w:val="single" w:sz="1" w:space="0" w:color="000000"/>
            </w:tcBorders>
            <w:shd w:val="clear" w:color="auto" w:fill="auto"/>
            <w:vAlign w:val="center"/>
          </w:tcPr>
          <w:p w14:paraId="558449DE"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LI06</w:t>
            </w:r>
          </w:p>
        </w:tc>
        <w:tc>
          <w:tcPr>
            <w:tcW w:w="154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F12B59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0,844</w:t>
            </w:r>
          </w:p>
        </w:tc>
      </w:tr>
      <w:tr w:rsidR="005A12A1" w:rsidRPr="00F214A6" w14:paraId="67C7B3F7"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5B6FC4D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LI07</w:t>
            </w:r>
          </w:p>
        </w:tc>
        <w:tc>
          <w:tcPr>
            <w:tcW w:w="1730" w:type="dxa"/>
            <w:tcBorders>
              <w:top w:val="single" w:sz="1" w:space="0" w:color="000000"/>
              <w:left w:val="single" w:sz="1" w:space="0" w:color="000000"/>
              <w:bottom w:val="single" w:sz="1" w:space="0" w:color="000000"/>
            </w:tcBorders>
            <w:shd w:val="clear" w:color="auto" w:fill="FFFFFF"/>
            <w:vAlign w:val="center"/>
          </w:tcPr>
          <w:p w14:paraId="69DFE28B"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0,773</w:t>
            </w:r>
          </w:p>
        </w:tc>
        <w:tc>
          <w:tcPr>
            <w:tcW w:w="1133" w:type="dxa"/>
            <w:tcBorders>
              <w:top w:val="single" w:sz="1" w:space="0" w:color="000000"/>
              <w:left w:val="single" w:sz="1" w:space="0" w:color="000000"/>
              <w:bottom w:val="single" w:sz="1" w:space="0" w:color="000000"/>
            </w:tcBorders>
            <w:shd w:val="clear" w:color="auto" w:fill="auto"/>
            <w:vAlign w:val="center"/>
          </w:tcPr>
          <w:p w14:paraId="4D02D84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LI08</w:t>
            </w:r>
          </w:p>
        </w:tc>
        <w:tc>
          <w:tcPr>
            <w:tcW w:w="1662" w:type="dxa"/>
            <w:tcBorders>
              <w:top w:val="single" w:sz="1" w:space="0" w:color="000000"/>
              <w:left w:val="single" w:sz="1" w:space="0" w:color="000000"/>
              <w:bottom w:val="single" w:sz="1" w:space="0" w:color="000000"/>
            </w:tcBorders>
            <w:shd w:val="clear" w:color="auto" w:fill="auto"/>
            <w:vAlign w:val="center"/>
          </w:tcPr>
          <w:p w14:paraId="0130A15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0,631</w:t>
            </w:r>
          </w:p>
        </w:tc>
        <w:tc>
          <w:tcPr>
            <w:tcW w:w="1133" w:type="dxa"/>
            <w:tcBorders>
              <w:top w:val="single" w:sz="1" w:space="0" w:color="000000"/>
              <w:left w:val="single" w:sz="1" w:space="0" w:color="000000"/>
              <w:bottom w:val="single" w:sz="1" w:space="0" w:color="000000"/>
            </w:tcBorders>
            <w:shd w:val="clear" w:color="auto" w:fill="auto"/>
            <w:vAlign w:val="center"/>
          </w:tcPr>
          <w:p w14:paraId="41AB711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LI09</w:t>
            </w:r>
          </w:p>
        </w:tc>
        <w:tc>
          <w:tcPr>
            <w:tcW w:w="154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91F1078"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0,515</w:t>
            </w:r>
          </w:p>
        </w:tc>
      </w:tr>
    </w:tbl>
    <w:p w14:paraId="73500BE7" w14:textId="77777777" w:rsidR="005A12A1" w:rsidRDefault="005A12A1" w:rsidP="00214D5D">
      <w:pPr>
        <w:autoSpaceDE w:val="0"/>
        <w:ind w:firstLine="680"/>
        <w:jc w:val="both"/>
        <w:rPr>
          <w:rFonts w:ascii="Garamond" w:hAnsi="Garamond"/>
          <w:sz w:val="24"/>
          <w:szCs w:val="24"/>
        </w:rPr>
      </w:pPr>
    </w:p>
    <w:p w14:paraId="60E5A2D0" w14:textId="77777777" w:rsidR="00F34FFC" w:rsidRPr="00F214A6" w:rsidRDefault="00F34FFC" w:rsidP="00214D5D">
      <w:pPr>
        <w:autoSpaceDE w:val="0"/>
        <w:ind w:firstLine="680"/>
        <w:jc w:val="both"/>
        <w:rPr>
          <w:rFonts w:ascii="Garamond" w:hAnsi="Garamond"/>
          <w:sz w:val="24"/>
          <w:szCs w:val="24"/>
        </w:rPr>
      </w:pPr>
    </w:p>
    <w:p w14:paraId="64A3F62E"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Finally, we determined preference for each alternative according to the criteria we had established. In other words, we stipulated the relative weight of the MGS with respect to each legitimacy component. For this we used a survey which inquired about the degree of agreement or disagreement with each component using a five-point Likert scale (1= strongly disagree, 5= strongly agree).</w:t>
      </w:r>
    </w:p>
    <w:p w14:paraId="01281CC7" w14:textId="77777777" w:rsidR="005A12A1" w:rsidRDefault="005A12A1" w:rsidP="00214D5D">
      <w:pPr>
        <w:autoSpaceDE w:val="0"/>
        <w:ind w:firstLine="680"/>
        <w:jc w:val="both"/>
        <w:rPr>
          <w:rFonts w:ascii="Garamond" w:hAnsi="Garamond"/>
          <w:sz w:val="24"/>
          <w:szCs w:val="24"/>
          <w:lang w:val="en-US"/>
        </w:rPr>
      </w:pPr>
    </w:p>
    <w:p w14:paraId="7AE4BE81" w14:textId="77777777" w:rsidR="00B104B9" w:rsidRDefault="00B104B9" w:rsidP="00214D5D">
      <w:pPr>
        <w:autoSpaceDE w:val="0"/>
        <w:ind w:firstLine="680"/>
        <w:jc w:val="both"/>
        <w:rPr>
          <w:rFonts w:ascii="Garamond" w:hAnsi="Garamond"/>
          <w:sz w:val="24"/>
          <w:szCs w:val="24"/>
          <w:lang w:val="en-US"/>
        </w:rPr>
      </w:pPr>
    </w:p>
    <w:p w14:paraId="346D4E41" w14:textId="77777777" w:rsidR="008E1927" w:rsidRDefault="008E1927" w:rsidP="00214D5D">
      <w:pPr>
        <w:autoSpaceDE w:val="0"/>
        <w:ind w:firstLine="680"/>
        <w:jc w:val="both"/>
        <w:rPr>
          <w:rFonts w:ascii="Garamond" w:hAnsi="Garamond"/>
          <w:sz w:val="24"/>
          <w:szCs w:val="24"/>
          <w:lang w:val="en-US"/>
        </w:rPr>
      </w:pPr>
    </w:p>
    <w:p w14:paraId="605FEE80" w14:textId="77777777" w:rsidR="008E1927" w:rsidRPr="00F214A6" w:rsidRDefault="008E1927" w:rsidP="00214D5D">
      <w:pPr>
        <w:autoSpaceDE w:val="0"/>
        <w:ind w:firstLine="680"/>
        <w:jc w:val="both"/>
        <w:rPr>
          <w:rFonts w:ascii="Garamond" w:hAnsi="Garamond"/>
          <w:sz w:val="24"/>
          <w:szCs w:val="24"/>
          <w:lang w:val="en-US"/>
        </w:rPr>
      </w:pPr>
    </w:p>
    <w:p w14:paraId="5B4D8B00" w14:textId="77777777" w:rsidR="005A12A1" w:rsidRPr="00F214A6" w:rsidRDefault="00B104B9" w:rsidP="00214D5D">
      <w:pPr>
        <w:autoSpaceDE w:val="0"/>
        <w:jc w:val="both"/>
        <w:rPr>
          <w:rFonts w:ascii="Garamond" w:hAnsi="Garamond"/>
          <w:b/>
          <w:sz w:val="24"/>
          <w:szCs w:val="24"/>
          <w:lang w:val="en-US"/>
        </w:rPr>
      </w:pPr>
      <w:r w:rsidRPr="00F214A6">
        <w:rPr>
          <w:rFonts w:ascii="Garamond" w:hAnsi="Garamond"/>
          <w:b/>
          <w:sz w:val="24"/>
          <w:szCs w:val="24"/>
          <w:lang w:val="en-US"/>
        </w:rPr>
        <w:t>RESULTS</w:t>
      </w:r>
    </w:p>
    <w:p w14:paraId="48DA6B6C" w14:textId="77777777" w:rsidR="005A12A1" w:rsidRPr="00F214A6" w:rsidRDefault="005A12A1" w:rsidP="00214D5D">
      <w:pPr>
        <w:ind w:firstLine="680"/>
        <w:jc w:val="both"/>
        <w:rPr>
          <w:rFonts w:ascii="Garamond" w:hAnsi="Garamond"/>
          <w:sz w:val="24"/>
          <w:szCs w:val="24"/>
          <w:lang w:val="en-US"/>
        </w:rPr>
      </w:pPr>
    </w:p>
    <w:p w14:paraId="7E57E1B3" w14:textId="77777777" w:rsidR="005A12A1" w:rsidRPr="00F214A6" w:rsidRDefault="00DD709A" w:rsidP="00214D5D">
      <w:pPr>
        <w:ind w:firstLine="680"/>
        <w:jc w:val="both"/>
        <w:rPr>
          <w:rFonts w:ascii="Garamond" w:hAnsi="Garamond"/>
          <w:sz w:val="24"/>
          <w:szCs w:val="24"/>
          <w:lang w:val="en-US"/>
        </w:rPr>
      </w:pPr>
      <w:r w:rsidRPr="00F214A6">
        <w:rPr>
          <w:rFonts w:ascii="Garamond" w:hAnsi="Garamond"/>
          <w:sz w:val="24"/>
          <w:szCs w:val="24"/>
          <w:lang w:val="en-US"/>
        </w:rPr>
        <w:t>Table 3 collects the relative importance of each criteria and sub-criteria concerning MGS's legitimacy. It also shows the degree of legitimacy of each alternative, in this case of each MGS. The inconsistency index remains below 0.10, guaranteeing a valid model. Moreover, varying the degree of importance of the criteria and sub-criteria for legitimacy in the model does not cause large result variations. This fact confirms the robustness of the model and the results.</w:t>
      </w:r>
    </w:p>
    <w:p w14:paraId="0C7A9D92" w14:textId="77777777" w:rsidR="005A12A1" w:rsidRPr="00F214A6" w:rsidRDefault="005A12A1" w:rsidP="00214D5D">
      <w:pPr>
        <w:ind w:firstLine="680"/>
        <w:jc w:val="both"/>
        <w:rPr>
          <w:rFonts w:ascii="Garamond" w:hAnsi="Garamond"/>
          <w:sz w:val="24"/>
          <w:szCs w:val="24"/>
          <w:lang w:val="en-US"/>
        </w:rPr>
      </w:pPr>
    </w:p>
    <w:p w14:paraId="56FBA22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Tabl</w:t>
      </w:r>
      <w:r w:rsidR="009F1477" w:rsidRPr="00B104B9">
        <w:rPr>
          <w:rFonts w:ascii="Garamond" w:hAnsi="Garamond"/>
          <w:caps/>
          <w:szCs w:val="24"/>
          <w:lang w:val="en-US"/>
        </w:rPr>
        <w:t>E</w:t>
      </w:r>
      <w:r w:rsidR="00034A60">
        <w:rPr>
          <w:rFonts w:ascii="Garamond" w:hAnsi="Garamond"/>
          <w:szCs w:val="24"/>
          <w:lang w:val="en-US"/>
        </w:rPr>
        <w:t xml:space="preserve"> 3.</w:t>
      </w:r>
      <w:r w:rsidRPr="00B104B9">
        <w:rPr>
          <w:rFonts w:ascii="Garamond" w:hAnsi="Garamond"/>
          <w:szCs w:val="24"/>
          <w:lang w:val="en-US"/>
        </w:rPr>
        <w:t xml:space="preserve"> </w:t>
      </w:r>
      <w:r w:rsidRPr="00B104B9">
        <w:rPr>
          <w:rFonts w:ascii="Garamond" w:hAnsi="Garamond"/>
          <w:i/>
          <w:iCs/>
          <w:szCs w:val="24"/>
          <w:lang w:val="en-US"/>
        </w:rPr>
        <w:t>Component and Legitimacy Results</w:t>
      </w:r>
    </w:p>
    <w:p w14:paraId="0E88DA9C" w14:textId="77777777" w:rsidR="005A12A1" w:rsidRPr="00F214A6" w:rsidRDefault="00B55D40" w:rsidP="00B104B9">
      <w:pPr>
        <w:jc w:val="center"/>
        <w:rPr>
          <w:rFonts w:ascii="Garamond" w:hAnsi="Garamond"/>
          <w:sz w:val="24"/>
          <w:szCs w:val="24"/>
          <w:lang w:val="en-US"/>
        </w:rPr>
      </w:pPr>
      <w:r w:rsidRPr="00F214A6">
        <w:rPr>
          <w:rFonts w:ascii="Garamond" w:hAnsi="Garamond"/>
          <w:noProof/>
          <w:sz w:val="24"/>
          <w:szCs w:val="24"/>
          <w:lang w:eastAsia="es-ES"/>
        </w:rPr>
        <w:drawing>
          <wp:inline distT="0" distB="0" distL="0" distR="0" wp14:anchorId="40B6EA7E" wp14:editId="444EB36C">
            <wp:extent cx="5354357" cy="2256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4357" cy="2256795"/>
                    </a:xfrm>
                    <a:prstGeom prst="rect">
                      <a:avLst/>
                    </a:prstGeom>
                    <a:solidFill>
                      <a:srgbClr val="FFFFFF"/>
                    </a:solidFill>
                    <a:ln>
                      <a:noFill/>
                    </a:ln>
                  </pic:spPr>
                </pic:pic>
              </a:graphicData>
            </a:graphic>
          </wp:inline>
        </w:drawing>
      </w:r>
    </w:p>
    <w:p w14:paraId="333752BD" w14:textId="77777777" w:rsidR="005A12A1" w:rsidRDefault="005A12A1" w:rsidP="00214D5D">
      <w:pPr>
        <w:ind w:firstLine="680"/>
        <w:jc w:val="both"/>
        <w:rPr>
          <w:rFonts w:ascii="Garamond" w:hAnsi="Garamond"/>
          <w:sz w:val="24"/>
          <w:szCs w:val="24"/>
          <w:lang w:val="en-US"/>
        </w:rPr>
      </w:pPr>
    </w:p>
    <w:p w14:paraId="6C6DDBBF" w14:textId="77777777" w:rsidR="00B104B9" w:rsidRPr="00F214A6" w:rsidRDefault="00B104B9" w:rsidP="00214D5D">
      <w:pPr>
        <w:ind w:firstLine="680"/>
        <w:jc w:val="both"/>
        <w:rPr>
          <w:rFonts w:ascii="Garamond" w:hAnsi="Garamond"/>
          <w:sz w:val="24"/>
          <w:szCs w:val="24"/>
          <w:lang w:val="en-US"/>
        </w:rPr>
      </w:pPr>
    </w:p>
    <w:p w14:paraId="4D942C57"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The results in the LEGITIMACY row show the different scores for legitimacy in MGS. This benchmark classifies MGS according to the degree of propriety, endorsement, and authorization of their activities. Considering that propriety, endorsement, and authorization are equally weighted components of legitimacy, the MGSs 08, 17, 04, 09, and 02 achieve the highest levels of legitimacy. By ranking the LEGITIMACY results, we can display the MGS on a continuous line according to their level of legitimacy (figure 4). In view of these results we observe greatly varying levels of legitimacy, with a maximum dispersion of legitimacy results among MGS of over 55% in the most extreme cases (maximum dispersion 58%).</w:t>
      </w:r>
    </w:p>
    <w:p w14:paraId="4875EC7B" w14:textId="77777777" w:rsidR="005A12A1" w:rsidRPr="00F214A6" w:rsidRDefault="005A12A1" w:rsidP="00214D5D">
      <w:pPr>
        <w:ind w:firstLine="680"/>
        <w:jc w:val="both"/>
        <w:rPr>
          <w:rFonts w:ascii="Garamond" w:hAnsi="Garamond"/>
          <w:sz w:val="24"/>
          <w:szCs w:val="24"/>
          <w:lang w:val="en-US"/>
        </w:rPr>
      </w:pPr>
    </w:p>
    <w:p w14:paraId="6EFE1395" w14:textId="77777777" w:rsidR="001826C3" w:rsidRPr="00F214A6" w:rsidRDefault="001826C3" w:rsidP="00214D5D">
      <w:pPr>
        <w:ind w:firstLine="680"/>
        <w:jc w:val="both"/>
        <w:rPr>
          <w:rFonts w:ascii="Garamond" w:hAnsi="Garamond"/>
          <w:sz w:val="24"/>
          <w:szCs w:val="24"/>
          <w:lang w:val="en-US"/>
        </w:rPr>
      </w:pPr>
    </w:p>
    <w:p w14:paraId="2442205C"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FigurE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Ranking of MGSs According to Legitimacy Levels</w:t>
      </w:r>
    </w:p>
    <w:p w14:paraId="17E02C30" w14:textId="77777777" w:rsidR="005A12A1" w:rsidRPr="00F214A6" w:rsidRDefault="00B55D40" w:rsidP="00214D5D">
      <w:pPr>
        <w:jc w:val="both"/>
        <w:rPr>
          <w:rFonts w:ascii="Garamond" w:hAnsi="Garamond"/>
          <w:sz w:val="24"/>
          <w:szCs w:val="24"/>
          <w:lang w:val="en-US"/>
        </w:rPr>
      </w:pPr>
      <w:r w:rsidRPr="00F214A6">
        <w:rPr>
          <w:rFonts w:ascii="Garamond" w:hAnsi="Garamond"/>
          <w:noProof/>
          <w:sz w:val="24"/>
          <w:szCs w:val="24"/>
          <w:lang w:eastAsia="es-ES"/>
        </w:rPr>
        <w:drawing>
          <wp:inline distT="0" distB="0" distL="0" distR="0" wp14:anchorId="1A46134C" wp14:editId="0D5F1504">
            <wp:extent cx="5381625" cy="640458"/>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1625" cy="640458"/>
                    </a:xfrm>
                    <a:prstGeom prst="rect">
                      <a:avLst/>
                    </a:prstGeom>
                    <a:solidFill>
                      <a:srgbClr val="FFFFFF"/>
                    </a:solidFill>
                    <a:ln>
                      <a:noFill/>
                    </a:ln>
                  </pic:spPr>
                </pic:pic>
              </a:graphicData>
            </a:graphic>
          </wp:inline>
        </w:drawing>
      </w:r>
    </w:p>
    <w:p w14:paraId="0E0BDAD9" w14:textId="77777777" w:rsidR="005A12A1" w:rsidRDefault="005A12A1" w:rsidP="00214D5D">
      <w:pPr>
        <w:ind w:firstLine="680"/>
        <w:jc w:val="both"/>
        <w:rPr>
          <w:rFonts w:ascii="Garamond" w:hAnsi="Garamond"/>
          <w:sz w:val="24"/>
          <w:szCs w:val="24"/>
          <w:lang w:val="en-US"/>
        </w:rPr>
      </w:pPr>
    </w:p>
    <w:p w14:paraId="77D76D27" w14:textId="77777777" w:rsidR="00B104B9" w:rsidRPr="00F214A6" w:rsidRDefault="00B104B9" w:rsidP="00214D5D">
      <w:pPr>
        <w:ind w:firstLine="680"/>
        <w:jc w:val="both"/>
        <w:rPr>
          <w:rFonts w:ascii="Garamond" w:hAnsi="Garamond"/>
          <w:sz w:val="24"/>
          <w:szCs w:val="24"/>
          <w:lang w:val="en-US"/>
        </w:rPr>
      </w:pPr>
    </w:p>
    <w:p w14:paraId="1E836576"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The rows PROPRIETY, ENDORSEMENT, and AUTHORIZATION show the degree of relative importance of these criteria in determining the legitimacy level of each MGS. In order to observe the existing result differences with respect to the relative importance of PROPRIETY, ENDORSEMENT, and AUTHORIZATION on legitimacy levels, we performed an analysis of variance (ANOVA). With this analysis we verified whether the values obtained by MGSs in the different components of leg</w:t>
      </w:r>
      <w:r w:rsidR="00672928" w:rsidRPr="00F214A6">
        <w:rPr>
          <w:rFonts w:ascii="Garamond" w:hAnsi="Garamond"/>
          <w:sz w:val="24"/>
          <w:szCs w:val="24"/>
          <w:lang w:val="en-US"/>
        </w:rPr>
        <w:t xml:space="preserve">itimacy differed significantly </w:t>
      </w:r>
      <w:r w:rsidRPr="00F214A6">
        <w:rPr>
          <w:rFonts w:ascii="Garamond" w:hAnsi="Garamond"/>
          <w:sz w:val="24"/>
          <w:szCs w:val="24"/>
          <w:lang w:val="en-US"/>
        </w:rPr>
        <w:t>across the three components. Results are shown in table 4.</w:t>
      </w:r>
    </w:p>
    <w:p w14:paraId="31D80FBF" w14:textId="77777777" w:rsidR="005A12A1" w:rsidRPr="00F214A6" w:rsidRDefault="005A12A1" w:rsidP="00214D5D">
      <w:pPr>
        <w:ind w:firstLine="680"/>
        <w:jc w:val="both"/>
        <w:rPr>
          <w:rFonts w:ascii="Garamond" w:hAnsi="Garamond"/>
          <w:sz w:val="24"/>
          <w:szCs w:val="24"/>
          <w:lang w:val="en-US"/>
        </w:rPr>
      </w:pPr>
    </w:p>
    <w:p w14:paraId="48E0EED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TablE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ANOVA of Legitimacy Components</w:t>
      </w:r>
    </w:p>
    <w:tbl>
      <w:tblPr>
        <w:tblW w:w="0" w:type="auto"/>
        <w:jc w:val="center"/>
        <w:tblLayout w:type="fixed"/>
        <w:tblCellMar>
          <w:left w:w="70" w:type="dxa"/>
          <w:right w:w="70" w:type="dxa"/>
        </w:tblCellMar>
        <w:tblLook w:val="0000" w:firstRow="0" w:lastRow="0" w:firstColumn="0" w:lastColumn="0" w:noHBand="0" w:noVBand="0"/>
      </w:tblPr>
      <w:tblGrid>
        <w:gridCol w:w="3772"/>
        <w:gridCol w:w="1473"/>
      </w:tblGrid>
      <w:tr w:rsidR="005A12A1" w:rsidRPr="00034A60" w14:paraId="5A5C1FD4" w14:textId="77777777" w:rsidTr="006E1245">
        <w:trPr>
          <w:trHeight w:val="270"/>
          <w:jc w:val="center"/>
        </w:trPr>
        <w:tc>
          <w:tcPr>
            <w:tcW w:w="3772" w:type="dxa"/>
            <w:tcBorders>
              <w:top w:val="single" w:sz="1" w:space="0" w:color="000000"/>
              <w:left w:val="single" w:sz="1" w:space="0" w:color="000000"/>
              <w:bottom w:val="single" w:sz="1" w:space="0" w:color="000000"/>
            </w:tcBorders>
            <w:shd w:val="clear" w:color="auto" w:fill="F3F3F3"/>
            <w:vAlign w:val="bottom"/>
          </w:tcPr>
          <w:p w14:paraId="7837DA36" w14:textId="77777777" w:rsidR="005A12A1" w:rsidRPr="00F214A6" w:rsidRDefault="003912D7" w:rsidP="00214D5D">
            <w:pPr>
              <w:snapToGrid w:val="0"/>
              <w:spacing w:before="60" w:after="60"/>
              <w:ind w:firstLine="680"/>
              <w:jc w:val="both"/>
              <w:rPr>
                <w:rFonts w:ascii="Garamond" w:hAnsi="Garamond"/>
                <w:b/>
                <w:sz w:val="24"/>
                <w:szCs w:val="24"/>
                <w:lang w:val="en-US"/>
              </w:rPr>
            </w:pPr>
            <w:r w:rsidRPr="00F214A6">
              <w:rPr>
                <w:rFonts w:ascii="Garamond" w:hAnsi="Garamond"/>
                <w:b/>
                <w:sz w:val="24"/>
                <w:szCs w:val="24"/>
                <w:lang w:val="en-US"/>
              </w:rPr>
              <w:t>Components</w:t>
            </w:r>
          </w:p>
        </w:tc>
        <w:tc>
          <w:tcPr>
            <w:tcW w:w="1473"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11BB5297" w14:textId="77777777" w:rsidR="005A12A1" w:rsidRPr="00F214A6" w:rsidRDefault="00DD709A" w:rsidP="00214D5D">
            <w:pPr>
              <w:snapToGrid w:val="0"/>
              <w:spacing w:before="60" w:after="60"/>
              <w:ind w:firstLine="680"/>
              <w:jc w:val="both"/>
              <w:rPr>
                <w:rFonts w:ascii="Garamond" w:hAnsi="Garamond"/>
                <w:b/>
                <w:bCs/>
                <w:sz w:val="24"/>
                <w:szCs w:val="24"/>
                <w:lang w:val="en-US"/>
              </w:rPr>
            </w:pPr>
            <w:r w:rsidRPr="00F214A6">
              <w:rPr>
                <w:rFonts w:ascii="Garamond" w:hAnsi="Garamond"/>
                <w:b/>
                <w:bCs/>
                <w:sz w:val="24"/>
                <w:szCs w:val="24"/>
                <w:lang w:val="en-US"/>
              </w:rPr>
              <w:t>Sig.</w:t>
            </w:r>
          </w:p>
        </w:tc>
      </w:tr>
      <w:tr w:rsidR="005A12A1" w:rsidRPr="00034A60" w14:paraId="4FB17F51" w14:textId="77777777" w:rsidTr="006E1245">
        <w:trPr>
          <w:trHeight w:val="75"/>
          <w:jc w:val="center"/>
        </w:trPr>
        <w:tc>
          <w:tcPr>
            <w:tcW w:w="3772" w:type="dxa"/>
            <w:tcBorders>
              <w:top w:val="single" w:sz="1" w:space="0" w:color="000000"/>
              <w:left w:val="single" w:sz="1" w:space="0" w:color="000000"/>
              <w:bottom w:val="single" w:sz="1" w:space="0" w:color="000000"/>
            </w:tcBorders>
            <w:shd w:val="clear" w:color="auto" w:fill="auto"/>
            <w:vAlign w:val="bottom"/>
          </w:tcPr>
          <w:p w14:paraId="1B3DF1F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PROPRIETY</w:t>
            </w:r>
          </w:p>
        </w:tc>
        <w:tc>
          <w:tcPr>
            <w:tcW w:w="147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78646D"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0,024</w:t>
            </w:r>
          </w:p>
        </w:tc>
      </w:tr>
      <w:tr w:rsidR="005A12A1" w:rsidRPr="00034A60" w14:paraId="733F11A2" w14:textId="77777777" w:rsidTr="006E1245">
        <w:trPr>
          <w:trHeight w:val="75"/>
          <w:jc w:val="center"/>
        </w:trPr>
        <w:tc>
          <w:tcPr>
            <w:tcW w:w="3772" w:type="dxa"/>
            <w:tcBorders>
              <w:top w:val="single" w:sz="1" w:space="0" w:color="000000"/>
              <w:left w:val="single" w:sz="1" w:space="0" w:color="000000"/>
              <w:bottom w:val="single" w:sz="1" w:space="0" w:color="000000"/>
            </w:tcBorders>
            <w:shd w:val="clear" w:color="auto" w:fill="auto"/>
            <w:vAlign w:val="bottom"/>
          </w:tcPr>
          <w:p w14:paraId="676E187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ENDORSEMENT</w:t>
            </w:r>
          </w:p>
        </w:tc>
        <w:tc>
          <w:tcPr>
            <w:tcW w:w="147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ADAFD4"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0,003</w:t>
            </w:r>
          </w:p>
        </w:tc>
      </w:tr>
      <w:tr w:rsidR="005A12A1" w:rsidRPr="00034A60" w14:paraId="46AE95B0" w14:textId="77777777" w:rsidTr="006E1245">
        <w:trPr>
          <w:trHeight w:val="75"/>
          <w:jc w:val="center"/>
        </w:trPr>
        <w:tc>
          <w:tcPr>
            <w:tcW w:w="3772" w:type="dxa"/>
            <w:tcBorders>
              <w:top w:val="single" w:sz="1" w:space="0" w:color="000000"/>
              <w:left w:val="single" w:sz="1" w:space="0" w:color="000000"/>
              <w:bottom w:val="single" w:sz="1" w:space="0" w:color="000000"/>
            </w:tcBorders>
            <w:shd w:val="clear" w:color="auto" w:fill="auto"/>
            <w:vAlign w:val="bottom"/>
          </w:tcPr>
          <w:p w14:paraId="559467D7"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AUTHORIZATION</w:t>
            </w:r>
          </w:p>
        </w:tc>
        <w:tc>
          <w:tcPr>
            <w:tcW w:w="147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96083D7"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0,044</w:t>
            </w:r>
          </w:p>
        </w:tc>
      </w:tr>
      <w:tr w:rsidR="005A12A1" w:rsidRPr="00D00E51" w14:paraId="598F8EFB" w14:textId="77777777" w:rsidTr="006E1245">
        <w:trPr>
          <w:trHeight w:val="255"/>
          <w:jc w:val="center"/>
        </w:trPr>
        <w:tc>
          <w:tcPr>
            <w:tcW w:w="5245"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14:paraId="32B15ED3"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P&lt;0,05 is 95% significant - Factor: LEGITIMACY</w:t>
            </w:r>
          </w:p>
        </w:tc>
      </w:tr>
    </w:tbl>
    <w:p w14:paraId="736D1437" w14:textId="77777777" w:rsidR="005A12A1" w:rsidRDefault="005A12A1" w:rsidP="00214D5D">
      <w:pPr>
        <w:ind w:firstLine="680"/>
        <w:jc w:val="both"/>
        <w:rPr>
          <w:rFonts w:ascii="Garamond" w:hAnsi="Garamond"/>
          <w:sz w:val="24"/>
          <w:szCs w:val="24"/>
          <w:lang w:val="en-US"/>
        </w:rPr>
      </w:pPr>
    </w:p>
    <w:p w14:paraId="3AAD6470" w14:textId="77777777" w:rsidR="00B104B9" w:rsidRPr="00F214A6" w:rsidRDefault="00B104B9" w:rsidP="00214D5D">
      <w:pPr>
        <w:ind w:firstLine="680"/>
        <w:jc w:val="both"/>
        <w:rPr>
          <w:rFonts w:ascii="Garamond" w:hAnsi="Garamond"/>
          <w:sz w:val="24"/>
          <w:szCs w:val="24"/>
          <w:lang w:val="en-US"/>
        </w:rPr>
      </w:pPr>
    </w:p>
    <w:p w14:paraId="28F2EA3D"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Analysis of variance within PROPRIETY, ENDORSEMENT, and AUTHORIZATION prove</w:t>
      </w:r>
      <w:r w:rsidR="00AF2A3F" w:rsidRPr="00F214A6">
        <w:rPr>
          <w:rFonts w:ascii="Garamond" w:hAnsi="Garamond"/>
          <w:sz w:val="24"/>
          <w:szCs w:val="24"/>
          <w:lang w:val="en-US"/>
        </w:rPr>
        <w:t>s, with significance levels bel</w:t>
      </w:r>
      <w:r w:rsidRPr="00F214A6">
        <w:rPr>
          <w:rFonts w:ascii="Garamond" w:hAnsi="Garamond"/>
          <w:sz w:val="24"/>
          <w:szCs w:val="24"/>
          <w:lang w:val="en-US"/>
        </w:rPr>
        <w:t>ow 0.05, that there are different behavior patterns among MGS. By pointing to the different notions its members have on the propriety, endorsement, and authorization of their activities, this data gives coherence to the disparity among the legitimacy results obtained by MGSs.</w:t>
      </w:r>
    </w:p>
    <w:p w14:paraId="0A10FFEE" w14:textId="77777777" w:rsidR="005A12A1" w:rsidRDefault="005A12A1" w:rsidP="00214D5D">
      <w:pPr>
        <w:ind w:firstLine="680"/>
        <w:jc w:val="both"/>
        <w:rPr>
          <w:rFonts w:ascii="Garamond" w:hAnsi="Garamond"/>
          <w:b/>
          <w:sz w:val="24"/>
          <w:szCs w:val="24"/>
          <w:lang w:val="en-US"/>
        </w:rPr>
      </w:pPr>
    </w:p>
    <w:p w14:paraId="4936F1CD" w14:textId="77777777" w:rsidR="00B104B9" w:rsidRPr="00F214A6" w:rsidRDefault="00B104B9" w:rsidP="00214D5D">
      <w:pPr>
        <w:ind w:firstLine="680"/>
        <w:jc w:val="both"/>
        <w:rPr>
          <w:rFonts w:ascii="Garamond" w:hAnsi="Garamond"/>
          <w:b/>
          <w:sz w:val="24"/>
          <w:szCs w:val="24"/>
          <w:lang w:val="en-US"/>
        </w:rPr>
      </w:pPr>
    </w:p>
    <w:p w14:paraId="5BE722FB"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DISCUSSION, CONCLUSION, AND IMPLICATIONS</w:t>
      </w:r>
    </w:p>
    <w:p w14:paraId="4D35EB66" w14:textId="77777777" w:rsidR="005A12A1" w:rsidRPr="00F214A6" w:rsidRDefault="005A12A1" w:rsidP="00214D5D">
      <w:pPr>
        <w:autoSpaceDE w:val="0"/>
        <w:ind w:firstLine="680"/>
        <w:jc w:val="both"/>
        <w:rPr>
          <w:rFonts w:ascii="Garamond" w:hAnsi="Garamond"/>
          <w:sz w:val="24"/>
          <w:szCs w:val="24"/>
          <w:lang w:val="en-US"/>
        </w:rPr>
      </w:pPr>
    </w:p>
    <w:p w14:paraId="28947755" w14:textId="77777777" w:rsidR="005A12A1" w:rsidRPr="00F214A6" w:rsidRDefault="00DD709A" w:rsidP="00B104B9">
      <w:pPr>
        <w:autoSpaceDE w:val="0"/>
        <w:jc w:val="both"/>
        <w:rPr>
          <w:rFonts w:ascii="Garamond" w:hAnsi="Garamond"/>
          <w:bCs/>
          <w:sz w:val="24"/>
          <w:szCs w:val="24"/>
          <w:lang w:val="en-US"/>
        </w:rPr>
      </w:pPr>
      <w:r w:rsidRPr="00F214A6">
        <w:rPr>
          <w:rFonts w:ascii="Garamond" w:hAnsi="Garamond"/>
          <w:sz w:val="24"/>
          <w:szCs w:val="24"/>
          <w:lang w:val="en-US"/>
        </w:rPr>
        <w:t>Institutional theory identifies legitimacy as a critical success factor that must be taken into account by all organizations (</w:t>
      </w:r>
      <w:r w:rsidRPr="00F214A6">
        <w:rPr>
          <w:rFonts w:ascii="Garamond" w:hAnsi="Garamond"/>
          <w:bCs/>
          <w:sz w:val="24"/>
          <w:szCs w:val="24"/>
          <w:lang w:val="en-US"/>
        </w:rPr>
        <w:t xml:space="preserve">Suchman, 1995; </w:t>
      </w:r>
      <w:r w:rsidRPr="00F214A6">
        <w:rPr>
          <w:rFonts w:ascii="Garamond" w:hAnsi="Garamond"/>
          <w:sz w:val="24"/>
          <w:szCs w:val="24"/>
          <w:lang w:val="en-US"/>
        </w:rPr>
        <w:t xml:space="preserve">Hunt and Aldrich, 1996; </w:t>
      </w:r>
      <w:r w:rsidRPr="00F214A6">
        <w:rPr>
          <w:rFonts w:ascii="Garamond" w:hAnsi="Garamond"/>
          <w:bCs/>
          <w:sz w:val="24"/>
          <w:szCs w:val="24"/>
          <w:lang w:val="en-US"/>
        </w:rPr>
        <w:t>Zimmerman and Zeitz,</w:t>
      </w:r>
      <w:r w:rsidRPr="00F214A6">
        <w:rPr>
          <w:rFonts w:ascii="Garamond" w:hAnsi="Garamond"/>
          <w:iCs/>
          <w:sz w:val="24"/>
          <w:szCs w:val="24"/>
          <w:lang w:val="en-US"/>
        </w:rPr>
        <w:t xml:space="preserve"> </w:t>
      </w:r>
      <w:r w:rsidRPr="00F214A6">
        <w:rPr>
          <w:rFonts w:ascii="Garamond" w:hAnsi="Garamond"/>
          <w:sz w:val="24"/>
          <w:szCs w:val="24"/>
          <w:lang w:val="en-US"/>
        </w:rPr>
        <w:t xml:space="preserve">2002). Nevertheless, there is little empirical research on the subject. This might be caused by one of the most recurring problems surrounding legitimacy, its measurement </w:t>
      </w:r>
      <w:r w:rsidRPr="00F214A6">
        <w:rPr>
          <w:rFonts w:ascii="Garamond" w:hAnsi="Garamond"/>
          <w:bCs/>
          <w:sz w:val="24"/>
          <w:szCs w:val="24"/>
          <w:lang w:val="en-US"/>
        </w:rPr>
        <w:t xml:space="preserve">(Bozeman, 1993; Suchman, 1995;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1996). </w:t>
      </w:r>
    </w:p>
    <w:p w14:paraId="62B2B219" w14:textId="77777777" w:rsidR="005A12A1" w:rsidRPr="00F214A6" w:rsidRDefault="005A12A1" w:rsidP="00214D5D">
      <w:pPr>
        <w:autoSpaceDE w:val="0"/>
        <w:ind w:firstLine="680"/>
        <w:jc w:val="both"/>
        <w:rPr>
          <w:rFonts w:ascii="Garamond" w:hAnsi="Garamond"/>
          <w:bCs/>
          <w:sz w:val="24"/>
          <w:szCs w:val="24"/>
          <w:lang w:val="en-US"/>
        </w:rPr>
      </w:pPr>
    </w:p>
    <w:p w14:paraId="7C674816"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 xml:space="preserve">Our study has implemented a system of legitimacy components proposed by Thomas (2005) and has empirically proven the validity of a model that facilitates legitimacy measurement across all types of organizations, within the same or across different sectors (objective 1). Moreover, we have classified MGSs according to their degree of legitimacy, taking into account all its dimensions (objective 2). </w:t>
      </w:r>
      <w:proofErr w:type="spellStart"/>
      <w:r w:rsidRPr="00F214A6">
        <w:rPr>
          <w:rFonts w:ascii="Garamond" w:hAnsi="Garamond"/>
          <w:sz w:val="24"/>
          <w:szCs w:val="24"/>
          <w:lang w:val="en-US"/>
        </w:rPr>
        <w:t>Nonwithstanding</w:t>
      </w:r>
      <w:proofErr w:type="spellEnd"/>
      <w:r w:rsidRPr="00F214A6">
        <w:rPr>
          <w:rFonts w:ascii="Garamond" w:hAnsi="Garamond"/>
          <w:sz w:val="24"/>
          <w:szCs w:val="24"/>
          <w:lang w:val="en-US"/>
        </w:rPr>
        <w:t>, although this methodology may be used to measure legitimacy in organizations across different sectors, this comparison should be performed with care.</w:t>
      </w:r>
    </w:p>
    <w:p w14:paraId="2145807C" w14:textId="77777777" w:rsidR="005A12A1" w:rsidRPr="00F214A6" w:rsidRDefault="005A12A1" w:rsidP="00B104B9">
      <w:pPr>
        <w:autoSpaceDE w:val="0"/>
        <w:jc w:val="both"/>
        <w:rPr>
          <w:rFonts w:ascii="Garamond" w:hAnsi="Garamond"/>
          <w:sz w:val="24"/>
          <w:szCs w:val="24"/>
          <w:lang w:val="en-US"/>
        </w:rPr>
      </w:pPr>
    </w:p>
    <w:p w14:paraId="025EDEB5"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The results of this investigation have also permitted to build a legitimacy profile of MGSs (objective 3). We have noted that there is not a common widespread perception concerning the propriety, endorsement, and authorization dimensions. In regards to propriety the results have shown that not all individuals, groups, and managers of MGSs view the actions of their organizations as desirable, proper, and appropriate. Furthermore, the individuals, groups, and managers of MGSs consider that the activities of their organizations lack sufficient endorsement and authorization from those with decision-making power.</w:t>
      </w:r>
    </w:p>
    <w:p w14:paraId="0C926813" w14:textId="77777777" w:rsidR="005A12A1" w:rsidRPr="00F214A6" w:rsidRDefault="005A12A1" w:rsidP="00214D5D">
      <w:pPr>
        <w:ind w:firstLine="680"/>
        <w:jc w:val="both"/>
        <w:rPr>
          <w:rFonts w:ascii="Garamond" w:hAnsi="Garamond"/>
          <w:sz w:val="24"/>
          <w:szCs w:val="24"/>
          <w:lang w:val="en-US"/>
        </w:rPr>
      </w:pPr>
    </w:p>
    <w:p w14:paraId="67AF5BB9"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Despite the results we have achieved and the usefulness of their implications, this study has limitations that suggest future areas of research. Firstly, the data used in this study comes exclusively from the replies given by organization members. The nature of the interview implies that founders/senior managers will answer affirmatively (Luque, 2000), contributing to a skewed vision of this characteristic, which should also be examined through the opinions of other stakeholders (Hybels, 1995; </w:t>
      </w: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2007). Therefore, the results must be interpreted with caution. Future research might attempt to answer questions such as which dimension is more important in shaping legitimacy.</w:t>
      </w:r>
    </w:p>
    <w:p w14:paraId="4D5EA93B" w14:textId="77777777" w:rsidR="005A12A1" w:rsidRPr="00F214A6" w:rsidRDefault="005A12A1" w:rsidP="00214D5D">
      <w:pPr>
        <w:ind w:firstLine="680"/>
        <w:jc w:val="both"/>
        <w:rPr>
          <w:rFonts w:ascii="Garamond" w:hAnsi="Garamond"/>
          <w:sz w:val="24"/>
          <w:szCs w:val="24"/>
          <w:lang w:val="en-US"/>
        </w:rPr>
      </w:pPr>
    </w:p>
    <w:p w14:paraId="438F0F9B"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Another limitation of our research has been sample size. The sample of this study consisted of 17 MGS, 72.72% of the universe size, representing 88.7% of industry turnover, and a sampling error of 10.41%. This is an accepted percentage in business analysis studies (Luque, 2000), although it does not allow for generalization to the entire business market. For future research we suggest to increase the analysis' sample size, adding companies from the rest of the financial sector. Reputable indexes such as the FTSE4 Good Index might be used.</w:t>
      </w:r>
    </w:p>
    <w:p w14:paraId="6256789C" w14:textId="77777777" w:rsidR="005A12A1" w:rsidRPr="00F214A6" w:rsidRDefault="005A12A1" w:rsidP="00214D5D">
      <w:pPr>
        <w:ind w:firstLine="680"/>
        <w:jc w:val="both"/>
        <w:rPr>
          <w:rFonts w:ascii="Garamond" w:hAnsi="Garamond"/>
          <w:sz w:val="24"/>
          <w:szCs w:val="24"/>
          <w:lang w:val="en-US"/>
        </w:rPr>
      </w:pPr>
    </w:p>
    <w:p w14:paraId="2A5DE791"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Finally, in future studies it would be interesting to relate the legitimacy scores we have obtained with a results variable, evaluating the hypotheses that establish a link between </w:t>
      </w:r>
      <w:r w:rsidRPr="00F214A6">
        <w:rPr>
          <w:rFonts w:ascii="Garamond" w:hAnsi="Garamond"/>
          <w:sz w:val="24"/>
          <w:szCs w:val="24"/>
          <w:lang w:val="en-US"/>
        </w:rPr>
        <w:lastRenderedPageBreak/>
        <w:t>business legitimacy and survival and growth capabilities. This type of analysis would allow us not only to evaluate the impact of legitimacy on business, but also to develop legitimacy development strategies according to individual business circumstances (Oliver, 1999).</w:t>
      </w:r>
    </w:p>
    <w:p w14:paraId="6F8978EB" w14:textId="77777777" w:rsidR="005A12A1" w:rsidRDefault="005A12A1" w:rsidP="00214D5D">
      <w:pPr>
        <w:jc w:val="both"/>
        <w:rPr>
          <w:rFonts w:ascii="Garamond" w:hAnsi="Garamond"/>
          <w:b/>
          <w:sz w:val="24"/>
          <w:szCs w:val="24"/>
          <w:lang w:val="en-US"/>
        </w:rPr>
      </w:pPr>
    </w:p>
    <w:p w14:paraId="07F0C802" w14:textId="77777777" w:rsidR="00B104B9" w:rsidRPr="00F214A6" w:rsidRDefault="00B104B9" w:rsidP="00214D5D">
      <w:pPr>
        <w:jc w:val="both"/>
        <w:rPr>
          <w:rFonts w:ascii="Garamond" w:hAnsi="Garamond"/>
          <w:b/>
          <w:sz w:val="24"/>
          <w:szCs w:val="24"/>
          <w:lang w:val="en-US"/>
        </w:rPr>
      </w:pPr>
    </w:p>
    <w:p w14:paraId="3B35B949"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REFERENCES</w:t>
      </w:r>
    </w:p>
    <w:p w14:paraId="17120714" w14:textId="77777777" w:rsidR="004A53C8" w:rsidRPr="00F214A6" w:rsidRDefault="004A53C8" w:rsidP="00214D5D">
      <w:pPr>
        <w:jc w:val="both"/>
        <w:rPr>
          <w:rFonts w:ascii="Garamond" w:hAnsi="Garamond"/>
          <w:sz w:val="24"/>
          <w:szCs w:val="24"/>
          <w:lang w:val="en-US"/>
        </w:rPr>
      </w:pPr>
    </w:p>
    <w:p w14:paraId="29A650C6"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Bansal, P; Clelland, I. (2004): “T</w:t>
      </w:r>
      <w:r w:rsidRPr="00F214A6">
        <w:rPr>
          <w:rFonts w:ascii="Garamond" w:hAnsi="Garamond"/>
          <w:bCs/>
          <w:sz w:val="24"/>
          <w:szCs w:val="24"/>
          <w:lang w:val="en-GB"/>
        </w:rPr>
        <w:t xml:space="preserve">alking trash: legitimacy, impression management, and unsystematic risk in the context of the natural environment”, </w:t>
      </w:r>
      <w:r w:rsidRPr="00F214A6">
        <w:rPr>
          <w:rFonts w:ascii="Garamond" w:hAnsi="Garamond"/>
          <w:i/>
          <w:iCs/>
          <w:sz w:val="24"/>
          <w:szCs w:val="24"/>
          <w:lang w:val="en-GB"/>
        </w:rPr>
        <w:t>Academy of Management Journal.</w:t>
      </w:r>
      <w:r w:rsidRPr="00F214A6">
        <w:rPr>
          <w:rFonts w:ascii="Garamond" w:hAnsi="Garamond"/>
          <w:sz w:val="24"/>
          <w:szCs w:val="24"/>
          <w:lang w:val="en-GB"/>
        </w:rPr>
        <w:t xml:space="preserve"> Vol. 47, N</w:t>
      </w:r>
      <w:r w:rsidR="005B036C">
        <w:rPr>
          <w:rFonts w:ascii="Garamond" w:hAnsi="Garamond"/>
          <w:sz w:val="24"/>
          <w:szCs w:val="24"/>
          <w:lang w:val="en-GB"/>
        </w:rPr>
        <w:t>o</w:t>
      </w:r>
      <w:r w:rsidRPr="00F214A6">
        <w:rPr>
          <w:rFonts w:ascii="Garamond" w:hAnsi="Garamond"/>
          <w:sz w:val="24"/>
          <w:szCs w:val="24"/>
          <w:lang w:val="en-GB"/>
        </w:rPr>
        <w:t>. 1, pp. 93–103.</w:t>
      </w:r>
    </w:p>
    <w:p w14:paraId="6C7592D8" w14:textId="77777777" w:rsidR="004A53C8" w:rsidRPr="00F214A6" w:rsidRDefault="004A53C8" w:rsidP="00B104B9">
      <w:pPr>
        <w:autoSpaceDE w:val="0"/>
        <w:autoSpaceDN w:val="0"/>
        <w:adjustRightInd w:val="0"/>
        <w:ind w:left="284" w:hanging="284"/>
        <w:jc w:val="both"/>
        <w:rPr>
          <w:rFonts w:ascii="Garamond" w:hAnsi="Garamond"/>
          <w:bCs/>
          <w:sz w:val="24"/>
          <w:szCs w:val="24"/>
          <w:lang w:val="en-GB"/>
        </w:rPr>
      </w:pPr>
      <w:r w:rsidRPr="00F214A6">
        <w:rPr>
          <w:rFonts w:ascii="Garamond" w:hAnsi="Garamond"/>
          <w:bCs/>
          <w:sz w:val="24"/>
          <w:szCs w:val="24"/>
          <w:lang w:val="en-GB"/>
        </w:rPr>
        <w:t xml:space="preserve">Bozeman, B. (1993): “Understanding the roots of publicness”, </w:t>
      </w:r>
      <w:proofErr w:type="spellStart"/>
      <w:r w:rsidRPr="00F214A6">
        <w:rPr>
          <w:rFonts w:ascii="Garamond" w:hAnsi="Garamond"/>
          <w:bCs/>
          <w:sz w:val="24"/>
          <w:szCs w:val="24"/>
          <w:lang w:val="en-GB"/>
        </w:rPr>
        <w:t>en</w:t>
      </w:r>
      <w:proofErr w:type="spellEnd"/>
      <w:r w:rsidRPr="00F214A6">
        <w:rPr>
          <w:rFonts w:ascii="Garamond" w:hAnsi="Garamond"/>
          <w:bCs/>
          <w:sz w:val="24"/>
          <w:szCs w:val="24"/>
          <w:lang w:val="en-GB"/>
        </w:rPr>
        <w:t xml:space="preserve"> B. Sutton (Ed). </w:t>
      </w:r>
      <w:r w:rsidRPr="00F214A6">
        <w:rPr>
          <w:rFonts w:ascii="Garamond" w:hAnsi="Garamond"/>
          <w:bCs/>
          <w:i/>
          <w:sz w:val="24"/>
          <w:szCs w:val="24"/>
          <w:lang w:val="en-GB"/>
        </w:rPr>
        <w:t>The legitimate corporation</w:t>
      </w:r>
      <w:r w:rsidRPr="00F214A6">
        <w:rPr>
          <w:rFonts w:ascii="Garamond" w:hAnsi="Garamond"/>
          <w:bCs/>
          <w:sz w:val="24"/>
          <w:szCs w:val="24"/>
          <w:lang w:val="en-GB"/>
        </w:rPr>
        <w:t>. pp. 63-81. Cambridge, MA: Blackwell.</w:t>
      </w:r>
    </w:p>
    <w:p w14:paraId="758F5D47"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US"/>
        </w:rPr>
        <w:t>Deeds, D. L.; Mang, P. Y.; Frandsen, M. (1997): “</w:t>
      </w:r>
      <w:r w:rsidRPr="00F214A6">
        <w:rPr>
          <w:rFonts w:ascii="Garamond" w:hAnsi="Garamond"/>
          <w:iCs/>
          <w:sz w:val="24"/>
          <w:szCs w:val="24"/>
          <w:lang w:val="en-GB"/>
        </w:rPr>
        <w:t xml:space="preserve">The quest for </w:t>
      </w:r>
      <w:r w:rsidRPr="00F214A6">
        <w:rPr>
          <w:rFonts w:ascii="Garamond" w:hAnsi="Garamond"/>
          <w:bCs/>
          <w:iCs/>
          <w:sz w:val="24"/>
          <w:szCs w:val="24"/>
          <w:lang w:val="en-GB"/>
        </w:rPr>
        <w:t>legitimacy: A study of biotechnology IPO's”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w:t>
      </w:r>
      <w:r w:rsidRPr="00F214A6">
        <w:rPr>
          <w:rFonts w:ascii="Garamond" w:hAnsi="Garamond"/>
          <w:bCs/>
          <w:i/>
          <w:iCs/>
          <w:sz w:val="24"/>
          <w:szCs w:val="24"/>
          <w:lang w:val="en-GB"/>
        </w:rPr>
        <w:t xml:space="preserve"> </w:t>
      </w:r>
      <w:r w:rsidRPr="00F214A6">
        <w:rPr>
          <w:rFonts w:ascii="Garamond" w:hAnsi="Garamond"/>
          <w:i/>
          <w:sz w:val="24"/>
          <w:szCs w:val="24"/>
          <w:lang w:val="en-GB"/>
        </w:rPr>
        <w:t>Management</w:t>
      </w:r>
      <w:r w:rsidRPr="00F214A6">
        <w:rPr>
          <w:rFonts w:ascii="Garamond" w:hAnsi="Garamond"/>
          <w:sz w:val="24"/>
          <w:szCs w:val="24"/>
          <w:lang w:val="en-GB"/>
        </w:rPr>
        <w:t>,</w:t>
      </w:r>
      <w:r w:rsidRPr="00F214A6">
        <w:rPr>
          <w:rFonts w:ascii="Garamond" w:hAnsi="Garamond"/>
          <w:i/>
          <w:iCs/>
          <w:sz w:val="24"/>
          <w:szCs w:val="24"/>
          <w:lang w:val="en-GB"/>
        </w:rPr>
        <w:t xml:space="preserve"> </w:t>
      </w:r>
      <w:r w:rsidRPr="00F214A6">
        <w:rPr>
          <w:rFonts w:ascii="Garamond" w:hAnsi="Garamond"/>
          <w:sz w:val="24"/>
          <w:szCs w:val="24"/>
          <w:lang w:val="en-GB"/>
        </w:rPr>
        <w:t>Boston.</w:t>
      </w:r>
    </w:p>
    <w:p w14:paraId="17FA73E4"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xml:space="preserve">, D. L. (1996). “Does isomorphism legitimate?”, </w:t>
      </w:r>
      <w:r w:rsidRPr="00F214A6">
        <w:rPr>
          <w:rFonts w:ascii="Garamond" w:hAnsi="Garamond"/>
          <w:i/>
          <w:iCs/>
          <w:sz w:val="24"/>
          <w:szCs w:val="24"/>
          <w:lang w:val="en-US"/>
        </w:rPr>
        <w:t xml:space="preserve">Academy </w:t>
      </w:r>
      <w:r w:rsidRPr="00F214A6">
        <w:rPr>
          <w:rFonts w:ascii="Garamond" w:hAnsi="Garamond"/>
          <w:bCs/>
          <w:i/>
          <w:iCs/>
          <w:sz w:val="24"/>
          <w:szCs w:val="24"/>
          <w:lang w:val="en-US"/>
        </w:rPr>
        <w:t xml:space="preserve">of Management Journal, </w:t>
      </w:r>
      <w:r w:rsidRPr="00F214A6">
        <w:rPr>
          <w:rFonts w:ascii="Garamond" w:hAnsi="Garamond"/>
          <w:bCs/>
          <w:iCs/>
          <w:sz w:val="24"/>
          <w:szCs w:val="24"/>
          <w:lang w:val="en-US"/>
        </w:rPr>
        <w:t xml:space="preserve">Vol. </w:t>
      </w:r>
      <w:r w:rsidRPr="00F214A6">
        <w:rPr>
          <w:rFonts w:ascii="Garamond" w:hAnsi="Garamond"/>
          <w:bCs/>
          <w:sz w:val="24"/>
          <w:szCs w:val="24"/>
          <w:lang w:val="en-US"/>
        </w:rPr>
        <w:t>39, N</w:t>
      </w:r>
      <w:r w:rsidR="00D53922">
        <w:rPr>
          <w:rFonts w:ascii="Garamond" w:hAnsi="Garamond"/>
          <w:bCs/>
          <w:sz w:val="24"/>
          <w:szCs w:val="24"/>
          <w:lang w:val="en-US"/>
        </w:rPr>
        <w:t>o</w:t>
      </w:r>
      <w:r w:rsidRPr="00F214A6">
        <w:rPr>
          <w:rFonts w:ascii="Garamond" w:hAnsi="Garamond"/>
          <w:bCs/>
          <w:sz w:val="24"/>
          <w:szCs w:val="24"/>
          <w:lang w:val="en-US"/>
        </w:rPr>
        <w:t>.4. pp. 1024-1039.</w:t>
      </w:r>
    </w:p>
    <w:p w14:paraId="7E3CB87B" w14:textId="77777777" w:rsidR="004A53C8" w:rsidRDefault="004A53C8" w:rsidP="00B104B9">
      <w:pPr>
        <w:autoSpaceDE w:val="0"/>
        <w:autoSpaceDN w:val="0"/>
        <w:adjustRightInd w:val="0"/>
        <w:ind w:left="284" w:hanging="284"/>
        <w:jc w:val="both"/>
        <w:rPr>
          <w:rFonts w:ascii="Garamond" w:hAnsi="Garamond"/>
          <w:sz w:val="24"/>
          <w:szCs w:val="24"/>
          <w:lang w:val="en-GB"/>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D. L; Carter, S. M. (2005). “</w:t>
      </w:r>
      <w:r w:rsidRPr="00F214A6">
        <w:rPr>
          <w:rFonts w:ascii="Garamond" w:hAnsi="Garamond"/>
          <w:bCs/>
          <w:sz w:val="24"/>
          <w:szCs w:val="24"/>
          <w:lang w:val="en-GB"/>
        </w:rPr>
        <w:t xml:space="preserve">An Examination of Differences Between Organizational Legitimacy and Organizational Reputation”, </w:t>
      </w:r>
      <w:r w:rsidRPr="00F214A6">
        <w:rPr>
          <w:rFonts w:ascii="Garamond" w:hAnsi="Garamond"/>
          <w:i/>
          <w:iCs/>
          <w:sz w:val="24"/>
          <w:szCs w:val="24"/>
          <w:lang w:val="en-GB"/>
        </w:rPr>
        <w:t xml:space="preserve">Journal of Management Studies, Vol. </w:t>
      </w:r>
      <w:r w:rsidRPr="00F214A6">
        <w:rPr>
          <w:rFonts w:ascii="Garamond" w:hAnsi="Garamond"/>
          <w:sz w:val="24"/>
          <w:szCs w:val="24"/>
          <w:lang w:val="en-GB"/>
        </w:rPr>
        <w:t>42, N</w:t>
      </w:r>
      <w:r w:rsidR="00D53922">
        <w:rPr>
          <w:rFonts w:ascii="Garamond" w:hAnsi="Garamond"/>
          <w:sz w:val="24"/>
          <w:szCs w:val="24"/>
          <w:lang w:val="en-GB"/>
        </w:rPr>
        <w:t>o</w:t>
      </w:r>
      <w:r w:rsidRPr="00F214A6">
        <w:rPr>
          <w:rFonts w:ascii="Garamond" w:hAnsi="Garamond"/>
          <w:sz w:val="24"/>
          <w:szCs w:val="24"/>
          <w:lang w:val="en-GB"/>
        </w:rPr>
        <w:t>. 2, pp. 329-360</w:t>
      </w:r>
    </w:p>
    <w:p w14:paraId="7A7E51E6" w14:textId="77777777" w:rsidR="005B036C" w:rsidRDefault="005B036C" w:rsidP="00B104B9">
      <w:pPr>
        <w:autoSpaceDE w:val="0"/>
        <w:autoSpaceDN w:val="0"/>
        <w:adjustRightInd w:val="0"/>
        <w:ind w:left="284" w:hanging="284"/>
        <w:jc w:val="both"/>
        <w:rPr>
          <w:rFonts w:ascii="Garamond" w:hAnsi="Garamond"/>
          <w:bCs/>
          <w:sz w:val="24"/>
          <w:szCs w:val="24"/>
        </w:rPr>
      </w:pPr>
      <w:r w:rsidRPr="005B036C">
        <w:rPr>
          <w:rFonts w:ascii="Garamond" w:hAnsi="Garamond"/>
          <w:bCs/>
          <w:sz w:val="24"/>
          <w:szCs w:val="24"/>
        </w:rPr>
        <w:t xml:space="preserve">Déniz </w:t>
      </w:r>
      <w:proofErr w:type="spellStart"/>
      <w:r w:rsidRPr="005B036C">
        <w:rPr>
          <w:rFonts w:ascii="Garamond" w:hAnsi="Garamond"/>
          <w:bCs/>
          <w:sz w:val="24"/>
          <w:szCs w:val="24"/>
        </w:rPr>
        <w:t>Déniz</w:t>
      </w:r>
      <w:proofErr w:type="spellEnd"/>
      <w:r w:rsidRPr="005B036C">
        <w:rPr>
          <w:rFonts w:ascii="Garamond" w:hAnsi="Garamond"/>
          <w:bCs/>
          <w:sz w:val="24"/>
          <w:szCs w:val="24"/>
        </w:rPr>
        <w:t xml:space="preserve">, M. and García Cabrera, A. (2011), “El isomorfismo mimético y las ventajas de localización como determinantes de la elección del modo de entrada”, </w:t>
      </w:r>
      <w:r w:rsidRPr="005B036C">
        <w:rPr>
          <w:rFonts w:ascii="Garamond" w:hAnsi="Garamond"/>
          <w:bCs/>
          <w:i/>
          <w:sz w:val="24"/>
          <w:szCs w:val="24"/>
        </w:rPr>
        <w:t>Revista Europea de Dirección y Economía de la Empresa</w:t>
      </w:r>
      <w:r w:rsidRPr="005B036C">
        <w:rPr>
          <w:rFonts w:ascii="Garamond" w:hAnsi="Garamond"/>
          <w:bCs/>
          <w:sz w:val="24"/>
          <w:szCs w:val="24"/>
        </w:rPr>
        <w:t>, Vol. 20 No. 1, pp. 105-122</w:t>
      </w:r>
    </w:p>
    <w:p w14:paraId="5B18D146"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 xml:space="preserve">Diez-Martin, F., Blanco-González, A. and Prado-Román, C. (2010), “Legitimidad como factor clave del éxito organizativo”, </w:t>
      </w:r>
      <w:r w:rsidRPr="005B036C">
        <w:rPr>
          <w:rFonts w:ascii="Garamond" w:hAnsi="Garamond"/>
          <w:bCs/>
          <w:i/>
          <w:sz w:val="24"/>
          <w:szCs w:val="24"/>
        </w:rPr>
        <w:t>Investigaciones Europeas de Dirección y Economía de la Empresa</w:t>
      </w:r>
      <w:r w:rsidRPr="00B104B9">
        <w:rPr>
          <w:rFonts w:ascii="Garamond" w:hAnsi="Garamond"/>
          <w:bCs/>
          <w:sz w:val="24"/>
          <w:szCs w:val="24"/>
        </w:rPr>
        <w:t>, Vol. 16 No. 3, pp. 127-143.</w:t>
      </w:r>
    </w:p>
    <w:p w14:paraId="622159D9"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Diez-Martin, F., Blanco-González, A. and Prado-Román, C. (2010), “</w:t>
      </w:r>
      <w:proofErr w:type="spellStart"/>
      <w:r w:rsidRPr="00B104B9">
        <w:rPr>
          <w:rFonts w:ascii="Garamond" w:hAnsi="Garamond"/>
          <w:bCs/>
          <w:sz w:val="24"/>
          <w:szCs w:val="24"/>
        </w:rPr>
        <w:t>Measuring</w:t>
      </w:r>
      <w:proofErr w:type="spellEnd"/>
      <w:r w:rsidRPr="00B104B9">
        <w:rPr>
          <w:rFonts w:ascii="Garamond" w:hAnsi="Garamond"/>
          <w:bCs/>
          <w:sz w:val="24"/>
          <w:szCs w:val="24"/>
        </w:rPr>
        <w:t xml:space="preserve"> </w:t>
      </w:r>
      <w:proofErr w:type="spellStart"/>
      <w:r w:rsidRPr="00B104B9">
        <w:rPr>
          <w:rFonts w:ascii="Garamond" w:hAnsi="Garamond"/>
          <w:bCs/>
          <w:sz w:val="24"/>
          <w:szCs w:val="24"/>
        </w:rPr>
        <w:t>organizational</w:t>
      </w:r>
      <w:proofErr w:type="spellEnd"/>
      <w:r w:rsidRPr="00B104B9">
        <w:rPr>
          <w:rFonts w:ascii="Garamond" w:hAnsi="Garamond"/>
          <w:bCs/>
          <w:sz w:val="24"/>
          <w:szCs w:val="24"/>
        </w:rPr>
        <w:t xml:space="preserve"> </w:t>
      </w:r>
      <w:proofErr w:type="spellStart"/>
      <w:r w:rsidRPr="00B104B9">
        <w:rPr>
          <w:rFonts w:ascii="Garamond" w:hAnsi="Garamond"/>
          <w:bCs/>
          <w:sz w:val="24"/>
          <w:szCs w:val="24"/>
        </w:rPr>
        <w:t>legitimacy</w:t>
      </w:r>
      <w:proofErr w:type="spellEnd"/>
      <w:r w:rsidRPr="00B104B9">
        <w:rPr>
          <w:rFonts w:ascii="Garamond" w:hAnsi="Garamond"/>
          <w:bCs/>
          <w:sz w:val="24"/>
          <w:szCs w:val="24"/>
        </w:rPr>
        <w:t xml:space="preserve">: </w:t>
      </w:r>
      <w:proofErr w:type="spellStart"/>
      <w:r w:rsidRPr="00B104B9">
        <w:rPr>
          <w:rFonts w:ascii="Garamond" w:hAnsi="Garamond"/>
          <w:bCs/>
          <w:sz w:val="24"/>
          <w:szCs w:val="24"/>
        </w:rPr>
        <w:t>the</w:t>
      </w:r>
      <w:proofErr w:type="spellEnd"/>
      <w:r w:rsidRPr="00B104B9">
        <w:rPr>
          <w:rFonts w:ascii="Garamond" w:hAnsi="Garamond"/>
          <w:bCs/>
          <w:sz w:val="24"/>
          <w:szCs w:val="24"/>
        </w:rPr>
        <w:t xml:space="preserve"> case </w:t>
      </w:r>
      <w:proofErr w:type="spellStart"/>
      <w:r w:rsidRPr="00B104B9">
        <w:rPr>
          <w:rFonts w:ascii="Garamond" w:hAnsi="Garamond"/>
          <w:bCs/>
          <w:sz w:val="24"/>
          <w:szCs w:val="24"/>
        </w:rPr>
        <w:t>of</w:t>
      </w:r>
      <w:proofErr w:type="spellEnd"/>
      <w:r w:rsidRPr="00B104B9">
        <w:rPr>
          <w:rFonts w:ascii="Garamond" w:hAnsi="Garamond"/>
          <w:bCs/>
          <w:sz w:val="24"/>
          <w:szCs w:val="24"/>
        </w:rPr>
        <w:t xml:space="preserve"> Mutual </w:t>
      </w:r>
      <w:proofErr w:type="spellStart"/>
      <w:r w:rsidRPr="00B104B9">
        <w:rPr>
          <w:rFonts w:ascii="Garamond" w:hAnsi="Garamond"/>
          <w:bCs/>
          <w:sz w:val="24"/>
          <w:szCs w:val="24"/>
        </w:rPr>
        <w:t>Guarantee</w:t>
      </w:r>
      <w:proofErr w:type="spellEnd"/>
      <w:r w:rsidRPr="00B104B9">
        <w:rPr>
          <w:rFonts w:ascii="Garamond" w:hAnsi="Garamond"/>
          <w:bCs/>
          <w:sz w:val="24"/>
          <w:szCs w:val="24"/>
        </w:rPr>
        <w:t xml:space="preserve"> </w:t>
      </w:r>
      <w:proofErr w:type="spellStart"/>
      <w:r w:rsidRPr="00B104B9">
        <w:rPr>
          <w:rFonts w:ascii="Garamond" w:hAnsi="Garamond"/>
          <w:bCs/>
          <w:sz w:val="24"/>
          <w:szCs w:val="24"/>
        </w:rPr>
        <w:t>Societies</w:t>
      </w:r>
      <w:proofErr w:type="spellEnd"/>
      <w:r w:rsidRPr="00B104B9">
        <w:rPr>
          <w:rFonts w:ascii="Garamond" w:hAnsi="Garamond"/>
          <w:bCs/>
          <w:sz w:val="24"/>
          <w:szCs w:val="24"/>
        </w:rPr>
        <w:t xml:space="preserve">”, </w:t>
      </w:r>
      <w:r w:rsidRPr="005B036C">
        <w:rPr>
          <w:rFonts w:ascii="Garamond" w:hAnsi="Garamond"/>
          <w:bCs/>
          <w:i/>
          <w:sz w:val="24"/>
          <w:szCs w:val="24"/>
        </w:rPr>
        <w:t>Cuadernos de Economía y Dirección de Empresas</w:t>
      </w:r>
      <w:r w:rsidRPr="005B036C">
        <w:rPr>
          <w:rFonts w:ascii="Garamond" w:hAnsi="Garamond"/>
          <w:bCs/>
          <w:sz w:val="24"/>
          <w:szCs w:val="24"/>
        </w:rPr>
        <w:t xml:space="preserve">, </w:t>
      </w:r>
      <w:r w:rsidRPr="00B104B9">
        <w:rPr>
          <w:rFonts w:ascii="Garamond" w:hAnsi="Garamond"/>
          <w:bCs/>
          <w:sz w:val="24"/>
          <w:szCs w:val="24"/>
        </w:rPr>
        <w:t>No. 43, pp. 115-143.</w:t>
      </w:r>
    </w:p>
    <w:p w14:paraId="3480B77E"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Dornbush, S.M.; Scott, W.R. (1975):</w:t>
      </w:r>
      <w:r w:rsidRPr="00F214A6">
        <w:rPr>
          <w:rFonts w:ascii="Garamond" w:hAnsi="Garamond"/>
          <w:i/>
          <w:iCs/>
          <w:sz w:val="24"/>
          <w:szCs w:val="24"/>
          <w:lang w:val="en-GB"/>
        </w:rPr>
        <w:t xml:space="preserve"> Evaluation and the Exercise of Authority</w:t>
      </w:r>
      <w:r w:rsidRPr="00F214A6">
        <w:rPr>
          <w:rFonts w:ascii="Garamond" w:hAnsi="Garamond"/>
          <w:sz w:val="24"/>
          <w:szCs w:val="24"/>
          <w:lang w:val="en-GB"/>
        </w:rPr>
        <w:t xml:space="preserve">. </w:t>
      </w:r>
      <w:r w:rsidRPr="00F214A6">
        <w:rPr>
          <w:rFonts w:ascii="Garamond" w:hAnsi="Garamond"/>
          <w:sz w:val="24"/>
          <w:szCs w:val="24"/>
          <w:lang w:val="en-US"/>
        </w:rPr>
        <w:t>San Francisco: Jossey-Bass.</w:t>
      </w:r>
    </w:p>
    <w:p w14:paraId="490C388F"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proofErr w:type="spellStart"/>
      <w:r w:rsidRPr="00F214A6">
        <w:rPr>
          <w:rFonts w:ascii="Garamond" w:hAnsi="Garamond"/>
          <w:sz w:val="24"/>
          <w:szCs w:val="24"/>
          <w:lang w:val="en-GB"/>
        </w:rPr>
        <w:t>Fombrun</w:t>
      </w:r>
      <w:proofErr w:type="spellEnd"/>
      <w:r w:rsidRPr="00F214A6">
        <w:rPr>
          <w:rFonts w:ascii="Garamond" w:hAnsi="Garamond"/>
          <w:sz w:val="24"/>
          <w:szCs w:val="24"/>
          <w:lang w:val="en-GB"/>
        </w:rPr>
        <w:t xml:space="preserve">, C; Shanley, M. (1990): “What’s in a Name? </w:t>
      </w:r>
      <w:r w:rsidRPr="00F214A6">
        <w:rPr>
          <w:rFonts w:ascii="Garamond" w:hAnsi="Garamond"/>
          <w:sz w:val="24"/>
          <w:szCs w:val="24"/>
          <w:lang w:val="en-US"/>
        </w:rPr>
        <w:t xml:space="preserve">Reputation Building and </w:t>
      </w:r>
      <w:r w:rsidRPr="00F214A6">
        <w:rPr>
          <w:rFonts w:ascii="Garamond" w:hAnsi="Garamond"/>
          <w:sz w:val="24"/>
          <w:szCs w:val="24"/>
          <w:lang w:val="en-GB"/>
        </w:rPr>
        <w:t xml:space="preserve">Corporate Strategy”, </w:t>
      </w:r>
      <w:r w:rsidRPr="00F214A6">
        <w:rPr>
          <w:rFonts w:ascii="Garamond" w:hAnsi="Garamond"/>
          <w:i/>
          <w:iCs/>
          <w:sz w:val="24"/>
          <w:szCs w:val="24"/>
          <w:lang w:val="en-GB"/>
        </w:rPr>
        <w:t>Academy of Management Journal</w:t>
      </w:r>
      <w:r w:rsidRPr="00F214A6">
        <w:rPr>
          <w:rFonts w:ascii="Garamond" w:hAnsi="Garamond"/>
          <w:sz w:val="24"/>
          <w:szCs w:val="24"/>
          <w:lang w:val="en-GB"/>
        </w:rPr>
        <w:t>, Vol. 33, N</w:t>
      </w:r>
      <w:r w:rsidR="00D53922">
        <w:rPr>
          <w:rFonts w:ascii="Garamond" w:hAnsi="Garamond"/>
          <w:sz w:val="24"/>
          <w:szCs w:val="24"/>
          <w:lang w:val="en-GB"/>
        </w:rPr>
        <w:t>o</w:t>
      </w:r>
      <w:r w:rsidRPr="00F214A6">
        <w:rPr>
          <w:rFonts w:ascii="Garamond" w:hAnsi="Garamond"/>
          <w:sz w:val="24"/>
          <w:szCs w:val="24"/>
          <w:lang w:val="en-GB"/>
        </w:rPr>
        <w:t xml:space="preserve">. 2, </w:t>
      </w:r>
      <w:r w:rsidRPr="00F214A6">
        <w:rPr>
          <w:rFonts w:ascii="Garamond" w:hAnsi="Garamond"/>
          <w:sz w:val="24"/>
          <w:szCs w:val="24"/>
          <w:lang w:val="en-US"/>
        </w:rPr>
        <w:t>pp</w:t>
      </w:r>
      <w:r w:rsidRPr="00F214A6">
        <w:rPr>
          <w:rFonts w:ascii="Garamond" w:hAnsi="Garamond"/>
          <w:sz w:val="24"/>
          <w:szCs w:val="24"/>
          <w:lang w:val="en-GB"/>
        </w:rPr>
        <w:t>. 233-258.</w:t>
      </w:r>
    </w:p>
    <w:p w14:paraId="74E2B357"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Hair, J.F.; Black, W.C.; Balbin, B.; Anderson, R.E.; Tatham, R.L. (2006): </w:t>
      </w:r>
      <w:r w:rsidRPr="00F214A6">
        <w:rPr>
          <w:rFonts w:ascii="Garamond" w:hAnsi="Garamond"/>
          <w:i/>
          <w:sz w:val="24"/>
          <w:szCs w:val="24"/>
          <w:lang w:val="en-US"/>
        </w:rPr>
        <w:t>Multivariate data analysis</w:t>
      </w:r>
      <w:r w:rsidRPr="00F214A6">
        <w:rPr>
          <w:rFonts w:ascii="Garamond" w:hAnsi="Garamond"/>
          <w:sz w:val="24"/>
          <w:szCs w:val="24"/>
          <w:lang w:val="en-US"/>
        </w:rPr>
        <w:t>, 6ª ed. Upper Saddle River, NJ; Pearson Prentice Hall.</w:t>
      </w:r>
    </w:p>
    <w:p w14:paraId="3807184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Harris, S.G. (1994): “Organizational culture and individual sensemaking: a schema-based perspective”, </w:t>
      </w:r>
      <w:r w:rsidRPr="00F214A6">
        <w:rPr>
          <w:rFonts w:ascii="Garamond" w:hAnsi="Garamond"/>
          <w:i/>
          <w:iCs/>
          <w:sz w:val="24"/>
          <w:szCs w:val="24"/>
          <w:lang w:val="en-US"/>
        </w:rPr>
        <w:t>Organization Science</w:t>
      </w:r>
      <w:r w:rsidRPr="00F214A6">
        <w:rPr>
          <w:rFonts w:ascii="Garamond" w:hAnsi="Garamond"/>
          <w:iCs/>
          <w:sz w:val="24"/>
          <w:szCs w:val="24"/>
          <w:lang w:val="en-US"/>
        </w:rPr>
        <w:t>,</w:t>
      </w:r>
      <w:r w:rsidRPr="00F214A6">
        <w:rPr>
          <w:rFonts w:ascii="Garamond" w:hAnsi="Garamond"/>
          <w:i/>
          <w:iCs/>
          <w:sz w:val="24"/>
          <w:szCs w:val="24"/>
          <w:lang w:val="en-US"/>
        </w:rPr>
        <w:t xml:space="preserve"> </w:t>
      </w:r>
      <w:r w:rsidRPr="00F214A6">
        <w:rPr>
          <w:rFonts w:ascii="Garamond" w:hAnsi="Garamond"/>
          <w:iCs/>
          <w:sz w:val="24"/>
          <w:szCs w:val="24"/>
          <w:lang w:val="en-US"/>
        </w:rPr>
        <w:t xml:space="preserve">Vol. </w:t>
      </w:r>
      <w:r w:rsidRPr="00F214A6">
        <w:rPr>
          <w:rFonts w:ascii="Garamond" w:hAnsi="Garamond"/>
          <w:bCs/>
          <w:sz w:val="24"/>
          <w:szCs w:val="24"/>
          <w:lang w:val="en-US"/>
        </w:rPr>
        <w:t>5,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309–321.</w:t>
      </w:r>
    </w:p>
    <w:p w14:paraId="033C1A04"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Human, S. E; Provan, K. G. (2000): “</w:t>
      </w:r>
      <w:r w:rsidRPr="00F214A6">
        <w:rPr>
          <w:rFonts w:ascii="Garamond" w:hAnsi="Garamond"/>
          <w:bCs/>
          <w:sz w:val="24"/>
          <w:szCs w:val="24"/>
          <w:lang w:val="en-US"/>
        </w:rPr>
        <w:t xml:space="preserve">Legitimacy building in the evolution of small firm </w:t>
      </w:r>
      <w:proofErr w:type="spellStart"/>
      <w:r w:rsidRPr="00F214A6">
        <w:rPr>
          <w:rFonts w:ascii="Garamond" w:hAnsi="Garamond"/>
          <w:bCs/>
          <w:sz w:val="24"/>
          <w:szCs w:val="24"/>
          <w:lang w:val="en-US"/>
        </w:rPr>
        <w:t>mutilateral</w:t>
      </w:r>
      <w:proofErr w:type="spellEnd"/>
      <w:r w:rsidRPr="00F214A6">
        <w:rPr>
          <w:rFonts w:ascii="Garamond" w:hAnsi="Garamond"/>
          <w:bCs/>
          <w:sz w:val="24"/>
          <w:szCs w:val="24"/>
          <w:lang w:val="en-US"/>
        </w:rPr>
        <w:t xml:space="preserve"> networks: a comparative study of success and demise”, </w:t>
      </w:r>
      <w:r w:rsidRPr="00F214A6">
        <w:rPr>
          <w:rFonts w:ascii="Garamond" w:hAnsi="Garamond"/>
          <w:i/>
          <w:iCs/>
          <w:sz w:val="24"/>
          <w:szCs w:val="24"/>
          <w:lang w:val="en-US"/>
        </w:rPr>
        <w:t xml:space="preserve">Administrative Science Quarterly, </w:t>
      </w:r>
      <w:r w:rsidRPr="00F214A6">
        <w:rPr>
          <w:rFonts w:ascii="Garamond" w:hAnsi="Garamond"/>
          <w:sz w:val="24"/>
          <w:szCs w:val="24"/>
          <w:lang w:val="en-US"/>
        </w:rPr>
        <w:t>Vol. 45, N</w:t>
      </w:r>
      <w:r w:rsidR="00D53922">
        <w:rPr>
          <w:rFonts w:ascii="Garamond" w:hAnsi="Garamond"/>
          <w:sz w:val="24"/>
          <w:szCs w:val="24"/>
          <w:lang w:val="en-US"/>
        </w:rPr>
        <w:t>o</w:t>
      </w:r>
      <w:r w:rsidRPr="00F214A6">
        <w:rPr>
          <w:rFonts w:ascii="Garamond" w:hAnsi="Garamond"/>
          <w:sz w:val="24"/>
          <w:szCs w:val="24"/>
          <w:lang w:val="en-US"/>
        </w:rPr>
        <w:t>. 2, pp. 327-365</w:t>
      </w:r>
    </w:p>
    <w:p w14:paraId="33BECF57"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Hunt, C. S.; Aldrich, H. E. (1996): “</w:t>
      </w:r>
      <w:r w:rsidRPr="00F214A6">
        <w:rPr>
          <w:rFonts w:ascii="Garamond" w:hAnsi="Garamond"/>
          <w:iCs/>
          <w:sz w:val="24"/>
          <w:szCs w:val="24"/>
          <w:lang w:val="en-GB"/>
        </w:rPr>
        <w:t>Why even Rodney Danger</w:t>
      </w:r>
      <w:r w:rsidRPr="00F214A6">
        <w:rPr>
          <w:rFonts w:ascii="Garamond" w:hAnsi="Garamond"/>
          <w:bCs/>
          <w:iCs/>
          <w:sz w:val="24"/>
          <w:szCs w:val="24"/>
          <w:lang w:val="en-GB"/>
        </w:rPr>
        <w:t xml:space="preserve">field has a home page: Legitimizing the world wide web as a </w:t>
      </w:r>
      <w:r w:rsidRPr="00F214A6">
        <w:rPr>
          <w:rFonts w:ascii="Garamond" w:hAnsi="Garamond"/>
          <w:bCs/>
          <w:sz w:val="24"/>
          <w:szCs w:val="24"/>
          <w:lang w:val="en-GB"/>
        </w:rPr>
        <w:t xml:space="preserve">medium </w:t>
      </w:r>
      <w:r w:rsidRPr="00F214A6">
        <w:rPr>
          <w:rFonts w:ascii="Garamond" w:hAnsi="Garamond"/>
          <w:bCs/>
          <w:iCs/>
          <w:sz w:val="24"/>
          <w:szCs w:val="24"/>
          <w:lang w:val="en-GB"/>
        </w:rPr>
        <w:t>for commercial endeavours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 Management</w:t>
      </w:r>
      <w:r w:rsidRPr="00F214A6">
        <w:rPr>
          <w:rFonts w:ascii="Garamond" w:hAnsi="Garamond"/>
          <w:sz w:val="24"/>
          <w:szCs w:val="24"/>
          <w:lang w:val="en-GB"/>
        </w:rPr>
        <w:t>,</w:t>
      </w:r>
      <w:r w:rsidRPr="00F214A6">
        <w:rPr>
          <w:rFonts w:ascii="Garamond" w:hAnsi="Garamond"/>
          <w:bCs/>
          <w:i/>
          <w:iCs/>
          <w:sz w:val="24"/>
          <w:szCs w:val="24"/>
          <w:lang w:val="en-GB"/>
        </w:rPr>
        <w:t xml:space="preserve"> </w:t>
      </w:r>
      <w:r w:rsidRPr="00F214A6">
        <w:rPr>
          <w:rFonts w:ascii="Garamond" w:hAnsi="Garamond"/>
          <w:sz w:val="24"/>
          <w:szCs w:val="24"/>
          <w:lang w:val="en-GB"/>
        </w:rPr>
        <w:t>Cincinnati, OH.</w:t>
      </w:r>
    </w:p>
    <w:p w14:paraId="3A2505D0" w14:textId="77777777" w:rsidR="004A53C8" w:rsidRPr="00F214A6" w:rsidRDefault="004A53C8" w:rsidP="00B104B9">
      <w:pPr>
        <w:autoSpaceDE w:val="0"/>
        <w:autoSpaceDN w:val="0"/>
        <w:adjustRightInd w:val="0"/>
        <w:ind w:left="284" w:hanging="284"/>
        <w:jc w:val="both"/>
        <w:rPr>
          <w:rFonts w:ascii="Garamond" w:hAnsi="Garamond"/>
          <w:iCs/>
          <w:sz w:val="24"/>
          <w:szCs w:val="24"/>
          <w:lang w:val="en-GB"/>
        </w:rPr>
      </w:pPr>
      <w:r w:rsidRPr="00F214A6">
        <w:rPr>
          <w:rFonts w:ascii="Garamond" w:hAnsi="Garamond"/>
          <w:sz w:val="24"/>
          <w:szCs w:val="24"/>
          <w:lang w:val="en-US"/>
        </w:rPr>
        <w:t>Hybels, R. (1995):”</w:t>
      </w:r>
      <w:r w:rsidRPr="00F214A6">
        <w:rPr>
          <w:rFonts w:ascii="Garamond" w:hAnsi="Garamond"/>
          <w:bCs/>
          <w:sz w:val="24"/>
          <w:szCs w:val="24"/>
          <w:lang w:val="en-US"/>
        </w:rPr>
        <w:t xml:space="preserve"> On legitimacy, legitimation, and organizations: A critical review and integrative theoretical model”, </w:t>
      </w:r>
      <w:r w:rsidRPr="00F214A6">
        <w:rPr>
          <w:rFonts w:ascii="Garamond" w:hAnsi="Garamond"/>
          <w:i/>
          <w:iCs/>
          <w:sz w:val="24"/>
          <w:szCs w:val="24"/>
          <w:lang w:val="en-US"/>
        </w:rPr>
        <w:t>Academy of Management Journal</w:t>
      </w:r>
      <w:r w:rsidRPr="00F214A6">
        <w:rPr>
          <w:rFonts w:ascii="Garamond" w:hAnsi="Garamond"/>
          <w:iCs/>
          <w:sz w:val="24"/>
          <w:szCs w:val="24"/>
          <w:lang w:val="en-US"/>
        </w:rPr>
        <w:t xml:space="preserve">, </w:t>
      </w:r>
      <w:r w:rsidRPr="00F214A6">
        <w:rPr>
          <w:rFonts w:ascii="Garamond" w:hAnsi="Garamond"/>
          <w:iCs/>
          <w:sz w:val="24"/>
          <w:szCs w:val="24"/>
          <w:lang w:val="en-GB"/>
        </w:rPr>
        <w:t xml:space="preserve">Special Issue: Best Papers Proceedings, </w:t>
      </w:r>
      <w:r w:rsidRPr="00F214A6">
        <w:rPr>
          <w:rFonts w:ascii="Garamond" w:hAnsi="Garamond"/>
          <w:sz w:val="24"/>
          <w:szCs w:val="24"/>
          <w:lang w:val="en-US"/>
        </w:rPr>
        <w:t>pp</w:t>
      </w:r>
      <w:r w:rsidRPr="00F214A6">
        <w:rPr>
          <w:rFonts w:ascii="Garamond" w:hAnsi="Garamond"/>
          <w:iCs/>
          <w:sz w:val="24"/>
          <w:szCs w:val="24"/>
          <w:lang w:val="en-GB"/>
        </w:rPr>
        <w:t>. 241 - 245.</w:t>
      </w:r>
    </w:p>
    <w:p w14:paraId="395CD8CD" w14:textId="77777777" w:rsidR="004A53C8" w:rsidRPr="00F214A6" w:rsidRDefault="004A53C8" w:rsidP="00B104B9">
      <w:pPr>
        <w:ind w:left="284" w:hanging="284"/>
        <w:jc w:val="both"/>
        <w:rPr>
          <w:rFonts w:ascii="Garamond" w:hAnsi="Garamond"/>
          <w:sz w:val="24"/>
          <w:szCs w:val="24"/>
          <w:lang w:val="en-US" w:eastAsia="en-US"/>
        </w:rPr>
      </w:pPr>
      <w:r w:rsidRPr="00F214A6">
        <w:rPr>
          <w:rFonts w:ascii="Garamond" w:hAnsi="Garamond"/>
          <w:sz w:val="24"/>
          <w:szCs w:val="24"/>
        </w:rPr>
        <w:t xml:space="preserve">Llamas Sánchez, R.; García Morales, V. J.; López Martín, F. (2005): “Un análisis institucional de la implantación de la agenda local 21 por los ayuntamientos españoles”, </w:t>
      </w:r>
      <w:r w:rsidRPr="00F214A6">
        <w:rPr>
          <w:rFonts w:ascii="Garamond" w:hAnsi="Garamond"/>
          <w:i/>
          <w:sz w:val="24"/>
          <w:szCs w:val="24"/>
        </w:rPr>
        <w:t>Revista Europea de Dirección y Economía de la Empresa</w:t>
      </w:r>
      <w:r w:rsidRPr="00F214A6">
        <w:rPr>
          <w:rFonts w:ascii="Garamond" w:hAnsi="Garamond"/>
          <w:sz w:val="24"/>
          <w:szCs w:val="24"/>
        </w:rPr>
        <w:t xml:space="preserve">. </w:t>
      </w:r>
      <w:r w:rsidRPr="00F214A6">
        <w:rPr>
          <w:rFonts w:ascii="Garamond" w:hAnsi="Garamond"/>
          <w:sz w:val="24"/>
          <w:szCs w:val="24"/>
          <w:lang w:val="en-US" w:eastAsia="en-US"/>
        </w:rPr>
        <w:t>Vol. 14, N</w:t>
      </w:r>
      <w:r w:rsidR="00D53922">
        <w:rPr>
          <w:rFonts w:ascii="Garamond" w:hAnsi="Garamond"/>
          <w:sz w:val="24"/>
          <w:szCs w:val="24"/>
          <w:lang w:val="en-US" w:eastAsia="en-US"/>
        </w:rPr>
        <w:t>o</w:t>
      </w:r>
      <w:r w:rsidRPr="00F214A6">
        <w:rPr>
          <w:rFonts w:ascii="Garamond" w:hAnsi="Garamond"/>
          <w:sz w:val="24"/>
          <w:szCs w:val="24"/>
          <w:lang w:val="en-US" w:eastAsia="en-US"/>
        </w:rPr>
        <w:t>. 3, pp. 9-40.</w:t>
      </w:r>
    </w:p>
    <w:p w14:paraId="39F5FAF4" w14:textId="77777777" w:rsidR="004A53C8" w:rsidRPr="00F214A6" w:rsidRDefault="004A53C8" w:rsidP="00B104B9">
      <w:pPr>
        <w:pStyle w:val="Textoindependiente"/>
        <w:ind w:left="284" w:hanging="284"/>
        <w:rPr>
          <w:i/>
          <w:iCs/>
          <w:sz w:val="24"/>
          <w:szCs w:val="24"/>
          <w:lang w:val="en-US"/>
        </w:rPr>
      </w:pPr>
      <w:r w:rsidRPr="00F214A6">
        <w:rPr>
          <w:sz w:val="24"/>
          <w:szCs w:val="24"/>
          <w:lang w:val="en-GB"/>
        </w:rPr>
        <w:t xml:space="preserve">Low, B; Johnston, W. (2008): “Securing and managing an organization's network legitimacy: The case of Motorola China Industrial Marketing Management”, </w:t>
      </w:r>
      <w:r w:rsidRPr="00F214A6">
        <w:rPr>
          <w:i/>
          <w:iCs/>
          <w:sz w:val="24"/>
          <w:szCs w:val="24"/>
          <w:lang w:val="en-GB"/>
        </w:rPr>
        <w:t>Industrial Marketing Management</w:t>
      </w:r>
      <w:r w:rsidRPr="00F214A6">
        <w:rPr>
          <w:sz w:val="24"/>
          <w:szCs w:val="24"/>
          <w:lang w:val="en-GB"/>
        </w:rPr>
        <w:t xml:space="preserve">, </w:t>
      </w:r>
      <w:r w:rsidRPr="00F214A6">
        <w:rPr>
          <w:iCs/>
          <w:sz w:val="24"/>
          <w:szCs w:val="24"/>
          <w:lang w:val="en-GB"/>
        </w:rPr>
        <w:t>Vol. 37, N</w:t>
      </w:r>
      <w:r w:rsidR="00D53922">
        <w:rPr>
          <w:iCs/>
          <w:sz w:val="24"/>
          <w:szCs w:val="24"/>
          <w:lang w:val="en-GB"/>
        </w:rPr>
        <w:t>o</w:t>
      </w:r>
      <w:r w:rsidRPr="00F214A6">
        <w:rPr>
          <w:iCs/>
          <w:sz w:val="24"/>
          <w:szCs w:val="24"/>
          <w:lang w:val="en-GB"/>
        </w:rPr>
        <w:t>. 7</w:t>
      </w:r>
      <w:r w:rsidRPr="00F214A6">
        <w:rPr>
          <w:sz w:val="24"/>
          <w:szCs w:val="24"/>
          <w:lang w:val="en-GB"/>
        </w:rPr>
        <w:t>, pp.</w:t>
      </w:r>
      <w:r w:rsidRPr="00F214A6">
        <w:rPr>
          <w:i/>
          <w:iCs/>
          <w:sz w:val="24"/>
          <w:szCs w:val="24"/>
          <w:lang w:val="en-GB"/>
        </w:rPr>
        <w:t xml:space="preserve"> </w:t>
      </w:r>
      <w:r w:rsidRPr="00F214A6">
        <w:rPr>
          <w:iCs/>
          <w:sz w:val="24"/>
          <w:szCs w:val="24"/>
          <w:lang w:val="en-US"/>
        </w:rPr>
        <w:t>873-879.</w:t>
      </w:r>
    </w:p>
    <w:p w14:paraId="2CA92B3F" w14:textId="77777777" w:rsidR="004A53C8" w:rsidRPr="00F214A6" w:rsidRDefault="004A53C8" w:rsidP="00B104B9">
      <w:pPr>
        <w:ind w:left="284" w:hanging="284"/>
        <w:jc w:val="both"/>
        <w:rPr>
          <w:rFonts w:ascii="Garamond" w:hAnsi="Garamond"/>
          <w:sz w:val="24"/>
          <w:szCs w:val="24"/>
          <w:lang w:val="en-US"/>
        </w:rPr>
      </w:pPr>
      <w:r w:rsidRPr="00F214A6">
        <w:rPr>
          <w:rFonts w:ascii="Garamond" w:hAnsi="Garamond"/>
          <w:sz w:val="24"/>
          <w:szCs w:val="24"/>
        </w:rPr>
        <w:lastRenderedPageBreak/>
        <w:t xml:space="preserve">Luque, T. (2000): </w:t>
      </w:r>
      <w:r w:rsidRPr="00F214A6">
        <w:rPr>
          <w:rFonts w:ascii="Garamond" w:hAnsi="Garamond"/>
          <w:i/>
          <w:sz w:val="24"/>
          <w:szCs w:val="24"/>
        </w:rPr>
        <w:t>Técnicas de análisis de datos en investigación de mercados</w:t>
      </w:r>
      <w:r w:rsidRPr="00F214A6">
        <w:rPr>
          <w:rFonts w:ascii="Garamond" w:hAnsi="Garamond"/>
          <w:sz w:val="24"/>
          <w:szCs w:val="24"/>
        </w:rPr>
        <w:t xml:space="preserve">. </w:t>
      </w:r>
      <w:r w:rsidRPr="00F214A6">
        <w:rPr>
          <w:rFonts w:ascii="Garamond" w:hAnsi="Garamond"/>
          <w:sz w:val="24"/>
          <w:szCs w:val="24"/>
          <w:lang w:val="en-US"/>
        </w:rPr>
        <w:t xml:space="preserve">Madrid, </w:t>
      </w:r>
      <w:proofErr w:type="spellStart"/>
      <w:r w:rsidRPr="00F214A6">
        <w:rPr>
          <w:rFonts w:ascii="Garamond" w:hAnsi="Garamond"/>
          <w:sz w:val="24"/>
          <w:szCs w:val="24"/>
          <w:lang w:val="en-US"/>
        </w:rPr>
        <w:t>Pirámide</w:t>
      </w:r>
      <w:proofErr w:type="spellEnd"/>
      <w:r w:rsidRPr="00F214A6">
        <w:rPr>
          <w:rFonts w:ascii="Garamond" w:hAnsi="Garamond"/>
          <w:sz w:val="24"/>
          <w:szCs w:val="24"/>
          <w:lang w:val="en-US"/>
        </w:rPr>
        <w:t>.</w:t>
      </w:r>
    </w:p>
    <w:p w14:paraId="70ECEA19" w14:textId="77777777" w:rsidR="004A53C8" w:rsidRPr="00F214A6" w:rsidRDefault="004A53C8" w:rsidP="00B10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Nunnally, J.; Bernstein, I.H. (1994): </w:t>
      </w:r>
      <w:r w:rsidRPr="00F214A6">
        <w:rPr>
          <w:rFonts w:ascii="Garamond" w:hAnsi="Garamond"/>
          <w:i/>
          <w:sz w:val="24"/>
          <w:szCs w:val="24"/>
          <w:lang w:val="en-US"/>
        </w:rPr>
        <w:t>Psychometric Theory</w:t>
      </w:r>
      <w:r w:rsidRPr="00F214A6">
        <w:rPr>
          <w:rFonts w:ascii="Garamond" w:hAnsi="Garamond"/>
          <w:sz w:val="24"/>
          <w:szCs w:val="24"/>
          <w:lang w:val="en-US"/>
        </w:rPr>
        <w:t>. 3ª ed. New York: McGraw-Hill</w:t>
      </w:r>
    </w:p>
    <w:p w14:paraId="4BDDB598" w14:textId="77777777" w:rsidR="004A53C8" w:rsidRPr="00F214A6" w:rsidRDefault="004A53C8" w:rsidP="00B104B9">
      <w:pPr>
        <w:ind w:left="284" w:hanging="284"/>
        <w:jc w:val="both"/>
        <w:rPr>
          <w:rFonts w:ascii="Garamond" w:hAnsi="Garamond"/>
          <w:bCs/>
          <w:sz w:val="24"/>
          <w:szCs w:val="24"/>
          <w:lang w:val="en-GB"/>
        </w:rPr>
      </w:pPr>
      <w:r w:rsidRPr="00F214A6">
        <w:rPr>
          <w:rFonts w:ascii="Garamond" w:hAnsi="Garamond"/>
          <w:sz w:val="24"/>
          <w:szCs w:val="24"/>
          <w:lang w:val="en-GB"/>
        </w:rPr>
        <w:t>Oliver, C. (1999): “</w:t>
      </w:r>
      <w:r w:rsidRPr="00F214A6">
        <w:rPr>
          <w:rFonts w:ascii="Garamond" w:hAnsi="Garamond"/>
          <w:bCs/>
          <w:sz w:val="24"/>
          <w:szCs w:val="24"/>
          <w:lang w:val="en-GB"/>
        </w:rPr>
        <w:t xml:space="preserve">Strategic responses to institutional processes”, </w:t>
      </w:r>
      <w:r w:rsidRPr="00F214A6">
        <w:rPr>
          <w:rFonts w:ascii="Garamond" w:hAnsi="Garamond"/>
          <w:i/>
          <w:iCs/>
          <w:sz w:val="24"/>
          <w:szCs w:val="24"/>
          <w:lang w:val="en-GB"/>
        </w:rPr>
        <w:t xml:space="preserve">Academy of Management Review, </w:t>
      </w:r>
      <w:r w:rsidRPr="00F214A6">
        <w:rPr>
          <w:rFonts w:ascii="Garamond" w:hAnsi="Garamond"/>
          <w:iCs/>
          <w:sz w:val="24"/>
          <w:szCs w:val="24"/>
          <w:lang w:val="en-GB"/>
        </w:rPr>
        <w:t>Vol. 16, N</w:t>
      </w:r>
      <w:r w:rsidR="00D53922">
        <w:rPr>
          <w:rFonts w:ascii="Garamond" w:hAnsi="Garamond"/>
          <w:iCs/>
          <w:sz w:val="24"/>
          <w:szCs w:val="24"/>
          <w:lang w:val="en-GB"/>
        </w:rPr>
        <w:t>o</w:t>
      </w:r>
      <w:r w:rsidRPr="00F214A6">
        <w:rPr>
          <w:rFonts w:ascii="Garamond" w:hAnsi="Garamond"/>
          <w:iCs/>
          <w:sz w:val="24"/>
          <w:szCs w:val="24"/>
          <w:lang w:val="en-GB"/>
        </w:rPr>
        <w:t xml:space="preserve">. 1, </w:t>
      </w:r>
      <w:r w:rsidRPr="00F214A6">
        <w:rPr>
          <w:rFonts w:ascii="Garamond" w:hAnsi="Garamond"/>
          <w:sz w:val="24"/>
          <w:szCs w:val="24"/>
          <w:lang w:val="en-US"/>
        </w:rPr>
        <w:t>pp 145-179.</w:t>
      </w:r>
    </w:p>
    <w:p w14:paraId="138C7372"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Ruef, M.;</w:t>
      </w:r>
      <w:r w:rsidRPr="00F214A6">
        <w:rPr>
          <w:rFonts w:ascii="Garamond" w:hAnsi="Garamond"/>
          <w:bCs/>
          <w:sz w:val="24"/>
          <w:szCs w:val="24"/>
          <w:lang w:val="en-GB"/>
        </w:rPr>
        <w:t xml:space="preserve"> </w:t>
      </w:r>
      <w:r w:rsidRPr="00F214A6">
        <w:rPr>
          <w:rFonts w:ascii="Garamond" w:hAnsi="Garamond"/>
          <w:sz w:val="24"/>
          <w:szCs w:val="24"/>
          <w:lang w:val="en-GB"/>
        </w:rPr>
        <w:t>Scott, R.</w:t>
      </w:r>
      <w:r w:rsidRPr="00F214A6">
        <w:rPr>
          <w:rFonts w:ascii="Garamond" w:hAnsi="Garamond"/>
          <w:bCs/>
          <w:sz w:val="24"/>
          <w:szCs w:val="24"/>
          <w:lang w:val="en-GB"/>
        </w:rPr>
        <w:t xml:space="preserve"> (</w:t>
      </w:r>
      <w:r w:rsidRPr="00F214A6">
        <w:rPr>
          <w:rFonts w:ascii="Garamond" w:hAnsi="Garamond"/>
          <w:sz w:val="24"/>
          <w:szCs w:val="24"/>
          <w:lang w:val="en-GB"/>
        </w:rPr>
        <w:t>1998): “</w:t>
      </w:r>
      <w:r w:rsidRPr="00F214A6">
        <w:rPr>
          <w:rFonts w:ascii="Garamond" w:hAnsi="Garamond"/>
          <w:bCs/>
          <w:sz w:val="24"/>
          <w:szCs w:val="24"/>
          <w:lang w:val="en-GB"/>
        </w:rPr>
        <w:t xml:space="preserve">A multidimensional model of organizational legitimacy: Hospital survival in changing institutional environments”, </w:t>
      </w:r>
      <w:r w:rsidRPr="00F214A6">
        <w:rPr>
          <w:rFonts w:ascii="Garamond" w:hAnsi="Garamond"/>
          <w:i/>
          <w:iCs/>
          <w:sz w:val="24"/>
          <w:szCs w:val="24"/>
          <w:lang w:val="en-GB"/>
        </w:rPr>
        <w:t xml:space="preserve">Administrative Science Quarterly; </w:t>
      </w:r>
      <w:r w:rsidRPr="00F214A6">
        <w:rPr>
          <w:rFonts w:ascii="Garamond" w:hAnsi="Garamond"/>
          <w:iCs/>
          <w:sz w:val="24"/>
          <w:szCs w:val="24"/>
          <w:lang w:val="en-GB"/>
        </w:rPr>
        <w:t>Vol.</w:t>
      </w:r>
      <w:r w:rsidRPr="00F214A6">
        <w:rPr>
          <w:rFonts w:ascii="Garamond" w:hAnsi="Garamond"/>
          <w:sz w:val="24"/>
          <w:szCs w:val="24"/>
          <w:lang w:val="en-GB"/>
        </w:rPr>
        <w:t xml:space="preserve"> 43, N</w:t>
      </w:r>
      <w:r w:rsidR="00D53922">
        <w:rPr>
          <w:rFonts w:ascii="Garamond" w:hAnsi="Garamond"/>
          <w:sz w:val="24"/>
          <w:szCs w:val="24"/>
          <w:lang w:val="en-GB"/>
        </w:rPr>
        <w:t>o</w:t>
      </w:r>
      <w:r w:rsidRPr="00F214A6">
        <w:rPr>
          <w:rFonts w:ascii="Garamond" w:hAnsi="Garamond"/>
          <w:sz w:val="24"/>
          <w:szCs w:val="24"/>
          <w:lang w:val="en-GB"/>
        </w:rPr>
        <w:t>. 4, pp. 877-904</w:t>
      </w:r>
    </w:p>
    <w:p w14:paraId="0E358D1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Rutherford, M.W., Buller, P. F. (2007): “Searching for the legitimacy threshold”, </w:t>
      </w:r>
      <w:r w:rsidRPr="00F214A6">
        <w:rPr>
          <w:rFonts w:ascii="Garamond" w:hAnsi="Garamond"/>
          <w:i/>
          <w:sz w:val="24"/>
          <w:szCs w:val="24"/>
          <w:lang w:val="en-GB"/>
        </w:rPr>
        <w:t>Journal of Management Inquiry</w:t>
      </w:r>
      <w:r w:rsidRPr="00F214A6">
        <w:rPr>
          <w:rFonts w:ascii="Garamond" w:hAnsi="Garamond"/>
          <w:sz w:val="24"/>
          <w:szCs w:val="24"/>
          <w:lang w:val="en-GB"/>
        </w:rPr>
        <w:t>; Vol. 16, N</w:t>
      </w:r>
      <w:r w:rsidR="00D53922">
        <w:rPr>
          <w:rFonts w:ascii="Garamond" w:hAnsi="Garamond"/>
          <w:sz w:val="24"/>
          <w:szCs w:val="24"/>
          <w:lang w:val="en-GB"/>
        </w:rPr>
        <w:t>o</w:t>
      </w:r>
      <w:r w:rsidRPr="00F214A6">
        <w:rPr>
          <w:rFonts w:ascii="Garamond" w:hAnsi="Garamond"/>
          <w:sz w:val="24"/>
          <w:szCs w:val="24"/>
          <w:lang w:val="en-GB"/>
        </w:rPr>
        <w:t>. 1, pp. 78-92.</w:t>
      </w:r>
    </w:p>
    <w:p w14:paraId="37739449"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GB"/>
        </w:rPr>
        <w:t xml:space="preserve">Saaty, T.L. (1977): “A Scaling Method for Priorities in Hierarchical Structures”, </w:t>
      </w:r>
      <w:r w:rsidRPr="00F214A6">
        <w:rPr>
          <w:rFonts w:ascii="Garamond" w:hAnsi="Garamond"/>
          <w:i/>
          <w:iCs/>
          <w:sz w:val="24"/>
          <w:szCs w:val="24"/>
          <w:lang w:val="en-GB"/>
        </w:rPr>
        <w:t xml:space="preserve">Journal of Mathematical Psychology, </w:t>
      </w:r>
      <w:r w:rsidRPr="00F214A6">
        <w:rPr>
          <w:rFonts w:ascii="Garamond" w:hAnsi="Garamond"/>
          <w:iCs/>
          <w:sz w:val="24"/>
          <w:szCs w:val="24"/>
          <w:lang w:val="en-GB"/>
        </w:rPr>
        <w:t xml:space="preserve">Vol. </w:t>
      </w:r>
      <w:r w:rsidRPr="00F214A6">
        <w:rPr>
          <w:rFonts w:ascii="Garamond" w:hAnsi="Garamond"/>
          <w:sz w:val="24"/>
          <w:szCs w:val="24"/>
          <w:lang w:val="en-GB"/>
        </w:rPr>
        <w:t>15, N</w:t>
      </w:r>
      <w:r w:rsidR="00D53922">
        <w:rPr>
          <w:rFonts w:ascii="Garamond" w:hAnsi="Garamond"/>
          <w:sz w:val="24"/>
          <w:szCs w:val="24"/>
          <w:lang w:val="en-GB"/>
        </w:rPr>
        <w:t>o</w:t>
      </w:r>
      <w:r w:rsidRPr="00F214A6">
        <w:rPr>
          <w:rFonts w:ascii="Garamond" w:hAnsi="Garamond"/>
          <w:sz w:val="24"/>
          <w:szCs w:val="24"/>
          <w:lang w:val="en-GB"/>
        </w:rPr>
        <w:t>. 3, pp. 234-281.</w:t>
      </w:r>
    </w:p>
    <w:p w14:paraId="680C8CE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Saaty, T.L. (1980): </w:t>
      </w:r>
      <w:r w:rsidRPr="00F214A6">
        <w:rPr>
          <w:rFonts w:ascii="Garamond" w:hAnsi="Garamond"/>
          <w:i/>
          <w:iCs/>
          <w:sz w:val="24"/>
          <w:szCs w:val="24"/>
          <w:lang w:val="en-GB"/>
        </w:rPr>
        <w:t>The Analytic Hierarchy Process</w:t>
      </w:r>
      <w:r w:rsidRPr="00F214A6">
        <w:rPr>
          <w:rFonts w:ascii="Garamond" w:hAnsi="Garamond"/>
          <w:sz w:val="24"/>
          <w:szCs w:val="24"/>
          <w:lang w:val="en-GB"/>
        </w:rPr>
        <w:t>. McGraw Hill, New York. Reprinted in 1996. Pittsburgh, RWS Publications.</w:t>
      </w:r>
    </w:p>
    <w:p w14:paraId="4487938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Suchman M. (1995): “Managing legitimacy: strategic and institutional approaches”, </w:t>
      </w:r>
      <w:r w:rsidRPr="00F214A6">
        <w:rPr>
          <w:rFonts w:ascii="Garamond" w:hAnsi="Garamond"/>
          <w:i/>
          <w:iCs/>
          <w:sz w:val="24"/>
          <w:szCs w:val="24"/>
          <w:lang w:val="en-US"/>
        </w:rPr>
        <w:t xml:space="preserve">Academy of Management Review, </w:t>
      </w:r>
      <w:r w:rsidRPr="00F214A6">
        <w:rPr>
          <w:rFonts w:ascii="Garamond" w:hAnsi="Garamond"/>
          <w:iCs/>
          <w:sz w:val="24"/>
          <w:szCs w:val="24"/>
          <w:lang w:val="en-US"/>
        </w:rPr>
        <w:t>Vol</w:t>
      </w:r>
      <w:r w:rsidRPr="00F214A6">
        <w:rPr>
          <w:rFonts w:ascii="Garamond" w:hAnsi="Garamond"/>
          <w:i/>
          <w:iCs/>
          <w:sz w:val="24"/>
          <w:szCs w:val="24"/>
          <w:lang w:val="en-US"/>
        </w:rPr>
        <w:t xml:space="preserve">. </w:t>
      </w:r>
      <w:r w:rsidRPr="00F214A6">
        <w:rPr>
          <w:rFonts w:ascii="Garamond" w:hAnsi="Garamond"/>
          <w:bCs/>
          <w:sz w:val="24"/>
          <w:szCs w:val="24"/>
          <w:lang w:val="en-US"/>
        </w:rPr>
        <w:t>20,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571-610.</w:t>
      </w:r>
    </w:p>
    <w:p w14:paraId="20346330" w14:textId="77777777" w:rsidR="004A53C8" w:rsidRPr="00F214A6" w:rsidRDefault="004A53C8" w:rsidP="00B104B9">
      <w:pPr>
        <w:widowControl w:val="0"/>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Thomas, T. E. (2005): “Are business students buying it? A theoretical framework for measuring attitudes toward the legitimacy of environmental sustainability”, </w:t>
      </w:r>
      <w:r w:rsidRPr="00F214A6">
        <w:rPr>
          <w:rFonts w:ascii="Garamond" w:hAnsi="Garamond"/>
          <w:i/>
          <w:sz w:val="24"/>
          <w:szCs w:val="24"/>
          <w:lang w:val="en-US"/>
        </w:rPr>
        <w:t>Business Strategy and the Environment</w:t>
      </w:r>
      <w:r w:rsidRPr="00F214A6">
        <w:rPr>
          <w:rFonts w:ascii="Garamond" w:hAnsi="Garamond"/>
          <w:sz w:val="24"/>
          <w:szCs w:val="24"/>
          <w:lang w:val="en-US"/>
        </w:rPr>
        <w:t>, Vol. 14, N</w:t>
      </w:r>
      <w:r w:rsidR="00D53922">
        <w:rPr>
          <w:rFonts w:ascii="Garamond" w:hAnsi="Garamond"/>
          <w:sz w:val="24"/>
          <w:szCs w:val="24"/>
          <w:lang w:val="en-US"/>
        </w:rPr>
        <w:t>o</w:t>
      </w:r>
      <w:r w:rsidRPr="00F214A6">
        <w:rPr>
          <w:rFonts w:ascii="Garamond" w:hAnsi="Garamond"/>
          <w:sz w:val="24"/>
          <w:szCs w:val="24"/>
          <w:lang w:val="en-US"/>
        </w:rPr>
        <w:t>. 3, pp. 186-197.</w:t>
      </w:r>
    </w:p>
    <w:p w14:paraId="14CDEF8C"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D. (2007): “</w:t>
      </w:r>
      <w:r w:rsidRPr="00F214A6">
        <w:rPr>
          <w:rFonts w:ascii="Garamond" w:hAnsi="Garamond"/>
          <w:bCs/>
          <w:sz w:val="24"/>
          <w:szCs w:val="24"/>
          <w:lang w:val="en-US"/>
        </w:rPr>
        <w:t>Reputation Beyond the Rankings: A Conceptual Framework for Business School Research”,</w:t>
      </w:r>
      <w:r w:rsidRPr="00F214A6">
        <w:rPr>
          <w:rFonts w:ascii="Garamond" w:hAnsi="Garamond"/>
          <w:sz w:val="24"/>
          <w:szCs w:val="24"/>
          <w:lang w:val="en-US"/>
        </w:rPr>
        <w:t xml:space="preserve"> </w:t>
      </w:r>
      <w:r w:rsidRPr="00F214A6">
        <w:rPr>
          <w:rFonts w:ascii="Garamond" w:hAnsi="Garamond"/>
          <w:i/>
          <w:sz w:val="24"/>
          <w:szCs w:val="24"/>
          <w:lang w:val="en-US"/>
        </w:rPr>
        <w:t>Corporate Reputation Review</w:t>
      </w:r>
      <w:r w:rsidRPr="00F214A6">
        <w:rPr>
          <w:rFonts w:ascii="Garamond" w:hAnsi="Garamond"/>
          <w:sz w:val="24"/>
          <w:szCs w:val="24"/>
          <w:lang w:val="en-US"/>
        </w:rPr>
        <w:t>, Vol. 10, N</w:t>
      </w:r>
      <w:r w:rsidR="00D53922">
        <w:rPr>
          <w:rFonts w:ascii="Garamond" w:hAnsi="Garamond"/>
          <w:sz w:val="24"/>
          <w:szCs w:val="24"/>
          <w:lang w:val="en-US"/>
        </w:rPr>
        <w:t>o</w:t>
      </w:r>
      <w:r w:rsidRPr="00F214A6">
        <w:rPr>
          <w:rFonts w:ascii="Garamond" w:hAnsi="Garamond"/>
          <w:sz w:val="24"/>
          <w:szCs w:val="24"/>
          <w:lang w:val="en-US"/>
        </w:rPr>
        <w:t>. 4, pp. 278–304</w:t>
      </w:r>
    </w:p>
    <w:p w14:paraId="3B6B8FCC" w14:textId="77777777" w:rsidR="004A53C8"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bCs/>
          <w:sz w:val="24"/>
          <w:szCs w:val="24"/>
          <w:lang w:val="en-GB"/>
        </w:rPr>
        <w:t>Zimmerman, M.; Zeitz, G.</w:t>
      </w:r>
      <w:r w:rsidRPr="00F214A6">
        <w:rPr>
          <w:rFonts w:ascii="Garamond" w:hAnsi="Garamond"/>
          <w:iCs/>
          <w:sz w:val="24"/>
          <w:szCs w:val="24"/>
          <w:lang w:val="en-GB"/>
        </w:rPr>
        <w:t xml:space="preserve"> (</w:t>
      </w:r>
      <w:r w:rsidRPr="00F214A6">
        <w:rPr>
          <w:rFonts w:ascii="Garamond" w:hAnsi="Garamond"/>
          <w:sz w:val="24"/>
          <w:szCs w:val="24"/>
          <w:lang w:val="en-GB"/>
        </w:rPr>
        <w:t>2002): “B</w:t>
      </w:r>
      <w:r w:rsidRPr="00F214A6">
        <w:rPr>
          <w:rFonts w:ascii="Garamond" w:hAnsi="Garamond"/>
          <w:bCs/>
          <w:sz w:val="24"/>
          <w:szCs w:val="24"/>
          <w:lang w:val="en-GB"/>
        </w:rPr>
        <w:t xml:space="preserve">eyond survival: achieving new venture growth by building legitimacy”, </w:t>
      </w:r>
      <w:r w:rsidRPr="00F214A6">
        <w:rPr>
          <w:rFonts w:ascii="Garamond" w:hAnsi="Garamond"/>
          <w:i/>
          <w:iCs/>
          <w:sz w:val="24"/>
          <w:szCs w:val="24"/>
          <w:lang w:val="en-GB"/>
        </w:rPr>
        <w:t>Academy of Management Review</w:t>
      </w:r>
      <w:r w:rsidRPr="00F214A6">
        <w:rPr>
          <w:rFonts w:ascii="Garamond" w:hAnsi="Garamond"/>
          <w:sz w:val="24"/>
          <w:szCs w:val="24"/>
          <w:lang w:val="en-GB"/>
        </w:rPr>
        <w:t>, Vol. 27, N</w:t>
      </w:r>
      <w:r w:rsidR="00D53922">
        <w:rPr>
          <w:rFonts w:ascii="Garamond" w:hAnsi="Garamond"/>
          <w:sz w:val="24"/>
          <w:szCs w:val="24"/>
          <w:lang w:val="en-GB"/>
        </w:rPr>
        <w:t>o</w:t>
      </w:r>
      <w:r w:rsidRPr="00F214A6">
        <w:rPr>
          <w:rFonts w:ascii="Garamond" w:hAnsi="Garamond"/>
          <w:sz w:val="24"/>
          <w:szCs w:val="24"/>
          <w:lang w:val="en-GB"/>
        </w:rPr>
        <w:t>. 3, pp. 414-31.</w:t>
      </w:r>
    </w:p>
    <w:p w14:paraId="287858F5" w14:textId="77777777" w:rsidR="00B104B9" w:rsidRPr="00F214A6" w:rsidRDefault="00B104B9" w:rsidP="00B104B9">
      <w:pPr>
        <w:autoSpaceDE w:val="0"/>
        <w:autoSpaceDN w:val="0"/>
        <w:adjustRightInd w:val="0"/>
        <w:ind w:left="284" w:hanging="284"/>
        <w:jc w:val="both"/>
        <w:rPr>
          <w:rFonts w:ascii="Garamond" w:hAnsi="Garamond"/>
          <w:bCs/>
          <w:sz w:val="24"/>
          <w:szCs w:val="24"/>
          <w:lang w:val="en-GB"/>
        </w:rPr>
      </w:pPr>
      <w:r w:rsidRPr="00B104B9">
        <w:rPr>
          <w:rFonts w:ascii="Garamond" w:hAnsi="Garamond"/>
          <w:bCs/>
          <w:sz w:val="24"/>
          <w:szCs w:val="24"/>
          <w:lang w:val="en-GB"/>
        </w:rPr>
        <w:t>Zucker, L.G. (1987), “Institutional theories of organization”, Annual Review of Sociology, Vol. 13, pp. 443-464.</w:t>
      </w:r>
    </w:p>
    <w:sectPr w:rsidR="00B104B9" w:rsidRPr="00F214A6" w:rsidSect="008561B4">
      <w:headerReference w:type="default" r:id="rId12"/>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75F0" w14:textId="77777777" w:rsidR="004655C7" w:rsidRDefault="004655C7" w:rsidP="00564875">
      <w:r>
        <w:separator/>
      </w:r>
    </w:p>
  </w:endnote>
  <w:endnote w:type="continuationSeparator" w:id="0">
    <w:p w14:paraId="39A6BABA" w14:textId="77777777" w:rsidR="004655C7" w:rsidRDefault="004655C7"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456B" w14:textId="77777777" w:rsidR="004655C7" w:rsidRDefault="004655C7" w:rsidP="00564875">
      <w:r>
        <w:separator/>
      </w:r>
    </w:p>
  </w:footnote>
  <w:footnote w:type="continuationSeparator" w:id="0">
    <w:p w14:paraId="366C027C" w14:textId="77777777" w:rsidR="004655C7" w:rsidRDefault="004655C7" w:rsidP="00564875">
      <w:r>
        <w:continuationSeparator/>
      </w:r>
    </w:p>
  </w:footnote>
  <w:footnote w:id="1">
    <w:p w14:paraId="0C789021" w14:textId="77777777" w:rsidR="00564875" w:rsidRDefault="00564875">
      <w:pPr>
        <w:pStyle w:val="Textonotapie"/>
      </w:pPr>
      <w:r>
        <w:rPr>
          <w:rStyle w:val="Refdenotaalpie"/>
        </w:rPr>
        <w:footnoteRef/>
      </w:r>
      <w:r>
        <w:t xml:space="preserve"> SABI Data base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DEE4" w14:textId="42DE3FD6" w:rsidR="00F34FFC" w:rsidRPr="00066C76" w:rsidRDefault="00F34FFC" w:rsidP="006011EC">
    <w:pPr>
      <w:pStyle w:val="Encabezado"/>
      <w:spacing w:line="276" w:lineRule="auto"/>
      <w:rPr>
        <w:rFonts w:ascii="Garamond" w:hAnsi="Garamond"/>
        <w:lang w:val="en-US"/>
      </w:rPr>
    </w:pPr>
    <w:r w:rsidRPr="00066C76">
      <w:rPr>
        <w:rFonts w:ascii="Garamond" w:hAnsi="Garamond"/>
        <w:lang w:val="en-US"/>
      </w:rPr>
      <w:t>XX</w:t>
    </w:r>
    <w:r w:rsidR="001F16D1" w:rsidRPr="00066C76">
      <w:rPr>
        <w:rFonts w:ascii="Garamond" w:hAnsi="Garamond"/>
        <w:lang w:val="en-US"/>
      </w:rPr>
      <w:t>X</w:t>
    </w:r>
    <w:r w:rsidR="00302A7E" w:rsidRPr="00066C76">
      <w:rPr>
        <w:rFonts w:ascii="Garamond" w:hAnsi="Garamond"/>
        <w:lang w:val="en-US"/>
      </w:rPr>
      <w:t>V</w:t>
    </w:r>
    <w:r w:rsidR="00D00E51">
      <w:rPr>
        <w:rFonts w:ascii="Garamond" w:hAnsi="Garamond"/>
        <w:lang w:val="en-US"/>
      </w:rPr>
      <w:t>I</w:t>
    </w:r>
    <w:r w:rsidR="00C94C3C" w:rsidRPr="00066C76">
      <w:rPr>
        <w:rFonts w:ascii="Garamond" w:hAnsi="Garamond"/>
        <w:lang w:val="en-US"/>
      </w:rPr>
      <w:t>I</w:t>
    </w:r>
    <w:r w:rsidR="00066C76" w:rsidRPr="00066C76">
      <w:rPr>
        <w:rFonts w:ascii="Garamond" w:hAnsi="Garamond"/>
        <w:lang w:val="en-US"/>
      </w:rPr>
      <w:t>I</w:t>
    </w:r>
    <w:r w:rsidRPr="00066C76">
      <w:rPr>
        <w:rFonts w:ascii="Garamond" w:hAnsi="Garamond"/>
        <w:lang w:val="en-US"/>
      </w:rPr>
      <w:t xml:space="preserve"> </w:t>
    </w:r>
    <w:r w:rsidR="006011EC" w:rsidRPr="00066C76">
      <w:rPr>
        <w:rFonts w:ascii="Garamond" w:hAnsi="Garamond"/>
        <w:lang w:val="en-US"/>
      </w:rPr>
      <w:t xml:space="preserve">AEDEM Annual </w:t>
    </w:r>
    <w:r w:rsidR="00CE435B" w:rsidRPr="00066C76">
      <w:rPr>
        <w:rFonts w:ascii="Garamond" w:hAnsi="Garamond"/>
        <w:lang w:val="en-US"/>
      </w:rPr>
      <w:t>Meeting</w:t>
    </w:r>
  </w:p>
  <w:p w14:paraId="7638C7BD" w14:textId="73D67867" w:rsidR="00034A60" w:rsidRPr="00066C76" w:rsidRDefault="00D00E51" w:rsidP="006011EC">
    <w:pPr>
      <w:pStyle w:val="Encabezado"/>
      <w:spacing w:line="276" w:lineRule="auto"/>
      <w:rPr>
        <w:rFonts w:ascii="Garamond" w:hAnsi="Garamond"/>
        <w:lang w:val="en-US"/>
      </w:rPr>
    </w:pPr>
    <w:r>
      <w:rPr>
        <w:rFonts w:ascii="Garamond" w:hAnsi="Garamond"/>
        <w:lang w:val="en-US"/>
      </w:rPr>
      <w:t>Toledo</w:t>
    </w:r>
    <w:r w:rsidR="00066C76">
      <w:rPr>
        <w:rFonts w:ascii="Garamond" w:hAnsi="Garamond"/>
        <w:lang w:val="en-US"/>
      </w:rPr>
      <w:t xml:space="preserve">, </w:t>
    </w:r>
    <w:r w:rsidR="00BF68CF" w:rsidRPr="00066C76">
      <w:rPr>
        <w:rFonts w:ascii="Garamond" w:hAnsi="Garamond"/>
        <w:lang w:val="en-US"/>
      </w:rPr>
      <w:t>202</w:t>
    </w:r>
    <w:r>
      <w:rPr>
        <w:rFonts w:ascii="Garamond" w:hAnsi="Garamond"/>
        <w:lang w:val="en-US"/>
      </w:rPr>
      <w:t>4</w:t>
    </w:r>
  </w:p>
  <w:p w14:paraId="7B53819C" w14:textId="77777777" w:rsidR="00034A60" w:rsidRPr="00066C76" w:rsidRDefault="00034A60">
    <w:pPr>
      <w:pStyle w:val="Encabezado"/>
      <w:rPr>
        <w:rFonts w:ascii="Garamond" w:hAnsi="Garamond"/>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066C76"/>
    <w:rsid w:val="001172DF"/>
    <w:rsid w:val="001826C3"/>
    <w:rsid w:val="001A0435"/>
    <w:rsid w:val="001A1216"/>
    <w:rsid w:val="001C7B10"/>
    <w:rsid w:val="001F16D1"/>
    <w:rsid w:val="00214D5D"/>
    <w:rsid w:val="00255972"/>
    <w:rsid w:val="0026533F"/>
    <w:rsid w:val="002C4AB8"/>
    <w:rsid w:val="00302A7E"/>
    <w:rsid w:val="00303CFD"/>
    <w:rsid w:val="0033454D"/>
    <w:rsid w:val="00361363"/>
    <w:rsid w:val="00385E2A"/>
    <w:rsid w:val="003912D7"/>
    <w:rsid w:val="003C01BA"/>
    <w:rsid w:val="003E0132"/>
    <w:rsid w:val="003E2568"/>
    <w:rsid w:val="004655C7"/>
    <w:rsid w:val="00476C5F"/>
    <w:rsid w:val="004A53C8"/>
    <w:rsid w:val="005558AE"/>
    <w:rsid w:val="00564875"/>
    <w:rsid w:val="005A12A1"/>
    <w:rsid w:val="005B036C"/>
    <w:rsid w:val="005B78FD"/>
    <w:rsid w:val="006011EC"/>
    <w:rsid w:val="00605993"/>
    <w:rsid w:val="00633D47"/>
    <w:rsid w:val="0063635C"/>
    <w:rsid w:val="00672928"/>
    <w:rsid w:val="006E1245"/>
    <w:rsid w:val="00794A5C"/>
    <w:rsid w:val="007B14FF"/>
    <w:rsid w:val="00813DF2"/>
    <w:rsid w:val="008561B4"/>
    <w:rsid w:val="00881C4E"/>
    <w:rsid w:val="008E1927"/>
    <w:rsid w:val="0092351E"/>
    <w:rsid w:val="009C669B"/>
    <w:rsid w:val="009F1477"/>
    <w:rsid w:val="00A43030"/>
    <w:rsid w:val="00AF2A3F"/>
    <w:rsid w:val="00B104B9"/>
    <w:rsid w:val="00B302EF"/>
    <w:rsid w:val="00B41034"/>
    <w:rsid w:val="00B55D40"/>
    <w:rsid w:val="00BC76AA"/>
    <w:rsid w:val="00BF68CF"/>
    <w:rsid w:val="00C94C3C"/>
    <w:rsid w:val="00CD44E0"/>
    <w:rsid w:val="00CE435B"/>
    <w:rsid w:val="00D00E51"/>
    <w:rsid w:val="00D53922"/>
    <w:rsid w:val="00D97AAF"/>
    <w:rsid w:val="00DD709A"/>
    <w:rsid w:val="00E42B8A"/>
    <w:rsid w:val="00E93580"/>
    <w:rsid w:val="00EA791A"/>
    <w:rsid w:val="00F214A6"/>
    <w:rsid w:val="00F34FFC"/>
    <w:rsid w:val="00F435F1"/>
    <w:rsid w:val="00F76F08"/>
    <w:rsid w:val="00F83F7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97458C28-09DA-44D1-83A7-C55D30F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5EF7-3289-4F9A-A174-F66BCA11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3800</Words>
  <Characters>20901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creator>Fran y Anabel</dc:creator>
  <cp:lastModifiedBy>Nuria Ramos Vecino</cp:lastModifiedBy>
  <cp:revision>2</cp:revision>
  <cp:lastPrinted>2009-09-21T17:14:00Z</cp:lastPrinted>
  <dcterms:created xsi:type="dcterms:W3CDTF">2023-12-18T10:04:00Z</dcterms:created>
  <dcterms:modified xsi:type="dcterms:W3CDTF">2023-12-18T10:04:00Z</dcterms:modified>
</cp:coreProperties>
</file>